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787E8">
      <w:pPr>
        <w:spacing w:line="1040" w:lineRule="exact"/>
        <w:ind w:firstLine="426"/>
        <w:jc w:val="center"/>
        <w:rPr>
          <w:rFonts w:hint="eastAsia" w:ascii="宋体" w:hAnsi="宋体" w:eastAsia="宋体" w:cs="宋体"/>
          <w:b/>
          <w:sz w:val="72"/>
          <w:szCs w:val="72"/>
          <w:highlight w:val="none"/>
        </w:rPr>
      </w:pPr>
    </w:p>
    <w:p w14:paraId="5AE17666">
      <w:pPr>
        <w:spacing w:line="1040" w:lineRule="exact"/>
        <w:ind w:firstLine="426"/>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w:t>
      </w:r>
      <w:r>
        <w:rPr>
          <w:rFonts w:hint="eastAsia" w:ascii="宋体" w:hAnsi="宋体" w:eastAsia="宋体" w:cs="宋体"/>
          <w:b/>
          <w:sz w:val="52"/>
          <w:szCs w:val="52"/>
          <w:highlight w:val="none"/>
        </w:rPr>
        <w:t>苏采云全流程不见面交易</w:t>
      </w:r>
      <w:r>
        <w:rPr>
          <w:rFonts w:hint="eastAsia" w:ascii="宋体" w:hAnsi="宋体" w:eastAsia="宋体" w:cs="宋体"/>
          <w:b/>
          <w:sz w:val="72"/>
          <w:szCs w:val="72"/>
          <w:highlight w:val="none"/>
        </w:rPr>
        <w:t>”</w:t>
      </w:r>
    </w:p>
    <w:p w14:paraId="62D30216">
      <w:pPr>
        <w:tabs>
          <w:tab w:val="center" w:pos="4621"/>
        </w:tabs>
        <w:spacing w:line="360" w:lineRule="auto"/>
        <w:jc w:val="center"/>
        <w:rPr>
          <w:rFonts w:hint="eastAsia" w:ascii="宋体" w:hAnsi="宋体" w:eastAsia="宋体" w:cs="宋体"/>
          <w:b/>
          <w:sz w:val="48"/>
          <w:szCs w:val="48"/>
          <w:highlight w:val="none"/>
        </w:rPr>
      </w:pPr>
    </w:p>
    <w:p w14:paraId="4AF0A8CC">
      <w:pPr>
        <w:tabs>
          <w:tab w:val="center" w:pos="4621"/>
        </w:tabs>
        <w:spacing w:line="360" w:lineRule="auto"/>
        <w:jc w:val="center"/>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t xml:space="preserve"> </w:t>
      </w:r>
    </w:p>
    <w:p w14:paraId="2AF92BD4">
      <w:pPr>
        <w:tabs>
          <w:tab w:val="center" w:pos="4621"/>
        </w:tabs>
        <w:spacing w:line="360" w:lineRule="auto"/>
        <w:jc w:val="center"/>
        <w:rPr>
          <w:rFonts w:hint="eastAsia" w:ascii="宋体" w:hAnsi="宋体" w:eastAsia="宋体" w:cs="宋体"/>
          <w:b/>
          <w:spacing w:val="28"/>
          <w:sz w:val="48"/>
          <w:szCs w:val="48"/>
          <w:highlight w:val="none"/>
        </w:rPr>
      </w:pPr>
    </w:p>
    <w:p w14:paraId="52739B4F">
      <w:pPr>
        <w:pStyle w:val="23"/>
        <w:rPr>
          <w:rFonts w:hint="eastAsia" w:ascii="宋体" w:hAnsi="宋体" w:eastAsia="宋体" w:cs="宋体"/>
          <w:highlight w:val="none"/>
        </w:rPr>
      </w:pPr>
    </w:p>
    <w:p w14:paraId="2C4DCFE4">
      <w:pPr>
        <w:tabs>
          <w:tab w:val="center" w:pos="4621"/>
        </w:tabs>
        <w:spacing w:line="360" w:lineRule="auto"/>
        <w:jc w:val="center"/>
        <w:rPr>
          <w:rFonts w:hint="eastAsia" w:ascii="宋体" w:hAnsi="宋体" w:eastAsia="宋体" w:cs="宋体"/>
          <w:b/>
          <w:spacing w:val="28"/>
          <w:sz w:val="60"/>
          <w:szCs w:val="60"/>
          <w:highlight w:val="none"/>
        </w:rPr>
      </w:pPr>
      <w:r>
        <w:rPr>
          <w:rFonts w:hint="eastAsia" w:ascii="宋体" w:hAnsi="宋体" w:eastAsia="宋体" w:cs="宋体"/>
          <w:b/>
          <w:spacing w:val="28"/>
          <w:sz w:val="60"/>
          <w:szCs w:val="60"/>
          <w:highlight w:val="none"/>
        </w:rPr>
        <w:t>竞争性磋商文件</w:t>
      </w:r>
    </w:p>
    <w:p w14:paraId="79869D5D">
      <w:pPr>
        <w:jc w:val="center"/>
        <w:rPr>
          <w:rFonts w:hint="eastAsia" w:ascii="宋体" w:hAnsi="宋体" w:eastAsia="宋体" w:cs="宋体"/>
          <w:b/>
          <w:bCs/>
          <w:color w:val="000000"/>
          <w:sz w:val="112"/>
          <w:szCs w:val="112"/>
        </w:rPr>
      </w:pPr>
    </w:p>
    <w:p w14:paraId="17A30D1C">
      <w:pPr>
        <w:ind w:firstLine="1920"/>
        <w:rPr>
          <w:rFonts w:hint="eastAsia" w:ascii="宋体" w:hAnsi="宋体" w:eastAsia="宋体" w:cs="宋体"/>
          <w:color w:val="000000"/>
          <w:sz w:val="32"/>
          <w:szCs w:val="32"/>
        </w:rPr>
      </w:pPr>
    </w:p>
    <w:p w14:paraId="0BFC0042">
      <w:pPr>
        <w:spacing w:line="360" w:lineRule="auto"/>
        <w:ind w:left="1925" w:leftChars="152" w:hanging="1606" w:hangingChars="500"/>
        <w:jc w:val="lef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项目名称</w:t>
      </w:r>
      <w:r>
        <w:rPr>
          <w:rFonts w:hint="eastAsia" w:ascii="宋体" w:hAnsi="宋体" w:eastAsia="宋体" w:cs="宋体"/>
          <w:b/>
          <w:bCs/>
          <w:sz w:val="32"/>
          <w:szCs w:val="32"/>
          <w:highlight w:val="none"/>
          <w:lang w:eastAsia="zh-CN"/>
        </w:rPr>
        <w:t>：</w:t>
      </w:r>
      <w:r>
        <w:rPr>
          <w:rFonts w:hint="eastAsia" w:ascii="宋体" w:hAnsi="宋体" w:cs="宋体"/>
          <w:b/>
          <w:bCs/>
          <w:sz w:val="32"/>
          <w:szCs w:val="32"/>
          <w:highlight w:val="none"/>
          <w:lang w:val="en-US" w:eastAsia="zh-CN"/>
        </w:rPr>
        <w:t>盱眙经济开发区地表水站和污水管网站运维服务项目</w:t>
      </w:r>
    </w:p>
    <w:p w14:paraId="036CFE10">
      <w:pPr>
        <w:spacing w:line="360" w:lineRule="auto"/>
        <w:ind w:firstLine="321" w:firstLineChars="100"/>
        <w:jc w:val="both"/>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JSZC-320830-JTGS-C2026-0016</w:t>
      </w:r>
      <w:r>
        <w:rPr>
          <w:rFonts w:hint="eastAsia" w:ascii="宋体" w:hAnsi="宋体" w:eastAsia="宋体" w:cs="宋体"/>
          <w:b/>
          <w:bCs/>
          <w:sz w:val="32"/>
          <w:szCs w:val="32"/>
          <w:highlight w:val="none"/>
          <w:lang w:eastAsia="zh-CN"/>
        </w:rPr>
        <w:t xml:space="preserve">   </w:t>
      </w:r>
    </w:p>
    <w:p w14:paraId="4FE3AE82">
      <w:pPr>
        <w:spacing w:line="360" w:lineRule="auto"/>
        <w:ind w:firstLine="321" w:firstLineChars="1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人</w:t>
      </w:r>
      <w:r>
        <w:rPr>
          <w:rFonts w:hint="eastAsia" w:ascii="宋体" w:hAnsi="宋体" w:eastAsia="宋体" w:cs="宋体"/>
          <w:b/>
          <w:bCs/>
          <w:sz w:val="32"/>
          <w:szCs w:val="32"/>
          <w:highlight w:val="none"/>
          <w:lang w:eastAsia="zh-CN"/>
        </w:rPr>
        <w:t>：</w:t>
      </w:r>
      <w:r>
        <w:rPr>
          <w:rFonts w:hint="eastAsia" w:ascii="宋体" w:hAnsi="宋体" w:cs="宋体"/>
          <w:b/>
          <w:bCs/>
          <w:sz w:val="32"/>
          <w:szCs w:val="32"/>
          <w:highlight w:val="none"/>
          <w:lang w:val="en-US" w:eastAsia="zh-CN"/>
        </w:rPr>
        <w:t>江苏盱眙经济开发区管理委员会</w:t>
      </w:r>
    </w:p>
    <w:p w14:paraId="2A2A955E">
      <w:pPr>
        <w:spacing w:line="360" w:lineRule="auto"/>
        <w:ind w:firstLine="321" w:firstLineChars="100"/>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采购代理机构</w:t>
      </w:r>
      <w:r>
        <w:rPr>
          <w:rFonts w:hint="eastAsia" w:ascii="宋体" w:hAnsi="宋体" w:eastAsia="宋体" w:cs="宋体"/>
          <w:b/>
          <w:bCs/>
          <w:sz w:val="32"/>
          <w:szCs w:val="32"/>
          <w:highlight w:val="none"/>
          <w:lang w:eastAsia="zh-CN"/>
        </w:rPr>
        <w:t>：</w:t>
      </w:r>
      <w:r>
        <w:rPr>
          <w:rFonts w:hint="eastAsia" w:ascii="宋体" w:hAnsi="宋体" w:eastAsia="宋体" w:cs="宋体"/>
          <w:b/>
          <w:bCs/>
          <w:sz w:val="32"/>
          <w:szCs w:val="32"/>
          <w:highlight w:val="none"/>
          <w:lang w:val="en-US" w:eastAsia="zh-CN"/>
        </w:rPr>
        <w:t>江苏骏通建设项目管理咨询有限公司</w:t>
      </w:r>
    </w:p>
    <w:p w14:paraId="5F1C6361">
      <w:pPr>
        <w:tabs>
          <w:tab w:val="left" w:pos="8786"/>
        </w:tabs>
        <w:spacing w:line="360" w:lineRule="auto"/>
        <w:ind w:firstLine="3795"/>
        <w:rPr>
          <w:rFonts w:hint="eastAsia" w:ascii="宋体" w:hAnsi="宋体" w:eastAsia="宋体" w:cs="宋体"/>
          <w:b/>
          <w:bCs/>
          <w:sz w:val="36"/>
          <w:szCs w:val="36"/>
          <w:highlight w:val="none"/>
        </w:rPr>
      </w:pPr>
    </w:p>
    <w:p w14:paraId="7CFBB1A5">
      <w:pPr>
        <w:pStyle w:val="4"/>
        <w:rPr>
          <w:rFonts w:hint="eastAsia"/>
        </w:rPr>
      </w:pPr>
    </w:p>
    <w:p w14:paraId="35373721">
      <w:pPr>
        <w:tabs>
          <w:tab w:val="left" w:pos="8786"/>
        </w:tabs>
        <w:spacing w:line="360" w:lineRule="auto"/>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二〇二</w:t>
      </w:r>
      <w:r>
        <w:rPr>
          <w:rFonts w:hint="eastAsia" w:ascii="宋体" w:hAnsi="宋体" w:cs="宋体"/>
          <w:b/>
          <w:bCs/>
          <w:sz w:val="36"/>
          <w:szCs w:val="36"/>
          <w:highlight w:val="none"/>
          <w:lang w:val="en-US" w:eastAsia="zh-CN"/>
        </w:rPr>
        <w:t>六</w:t>
      </w:r>
      <w:r>
        <w:rPr>
          <w:rFonts w:hint="eastAsia" w:ascii="宋体" w:hAnsi="宋体" w:eastAsia="宋体" w:cs="宋体"/>
          <w:b/>
          <w:bCs/>
          <w:sz w:val="36"/>
          <w:szCs w:val="36"/>
          <w:highlight w:val="none"/>
        </w:rPr>
        <w:t>年</w:t>
      </w:r>
      <w:r>
        <w:rPr>
          <w:rFonts w:hint="eastAsia" w:ascii="宋体" w:hAnsi="宋体" w:cs="宋体"/>
          <w:b/>
          <w:bCs/>
          <w:sz w:val="36"/>
          <w:szCs w:val="36"/>
          <w:highlight w:val="none"/>
          <w:lang w:val="en-US" w:eastAsia="zh-CN"/>
        </w:rPr>
        <w:t>四</w:t>
      </w:r>
      <w:r>
        <w:rPr>
          <w:rFonts w:hint="eastAsia" w:ascii="宋体" w:hAnsi="宋体" w:eastAsia="宋体" w:cs="宋体"/>
          <w:b/>
          <w:bCs/>
          <w:sz w:val="36"/>
          <w:szCs w:val="36"/>
          <w:highlight w:val="none"/>
        </w:rPr>
        <w:t>月</w:t>
      </w:r>
    </w:p>
    <w:p w14:paraId="06DD6DA3">
      <w:pPr>
        <w:tabs>
          <w:tab w:val="left" w:pos="8786"/>
        </w:tabs>
        <w:spacing w:line="360" w:lineRule="auto"/>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前附表</w:t>
      </w:r>
    </w:p>
    <w:tbl>
      <w:tblPr>
        <w:tblStyle w:val="20"/>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1"/>
        <w:gridCol w:w="2001"/>
        <w:gridCol w:w="6559"/>
      </w:tblGrid>
      <w:tr w14:paraId="2383F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7"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06757A1E">
            <w:pPr>
              <w:keepNext w:val="0"/>
              <w:keepLines w:val="0"/>
              <w:pageBreakBefore w:val="0"/>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项号</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06620F67">
            <w:pPr>
              <w:keepNext w:val="0"/>
              <w:keepLines w:val="0"/>
              <w:pageBreakBefore w:val="0"/>
              <w:spacing w:line="3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称</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0A6434C5">
            <w:pPr>
              <w:keepNext w:val="0"/>
              <w:keepLines w:val="0"/>
              <w:pageBreakBefore w:val="0"/>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内      容</w:t>
            </w:r>
          </w:p>
        </w:tc>
      </w:tr>
      <w:tr w14:paraId="36DFE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9"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39E6D149">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7A8C291E">
            <w:pPr>
              <w:keepNext w:val="0"/>
              <w:keepLines w:val="0"/>
              <w:pageBreakBefore w:val="0"/>
              <w:widowControl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7B7EC4D">
            <w:pPr>
              <w:keepNext w:val="0"/>
              <w:keepLines w:val="0"/>
              <w:pageBreakBefore w:val="0"/>
              <w:widowControl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江苏盱眙经济开发区管理委员会</w:t>
            </w:r>
          </w:p>
        </w:tc>
      </w:tr>
      <w:tr w14:paraId="2FA30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9"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397283B9">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2A10B03F">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采购代理机构</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0E538C40">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江苏骏通建设项目管理咨询有限公司</w:t>
            </w:r>
          </w:p>
        </w:tc>
      </w:tr>
      <w:tr w14:paraId="2A7AF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6"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0CEBF1D5">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19D25FB4">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项目编号</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477A59F">
            <w:pPr>
              <w:keepNext w:val="0"/>
              <w:keepLines w:val="0"/>
              <w:pageBreakBefore w:val="0"/>
              <w:spacing w:line="380" w:lineRule="exact"/>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JSZC-320830-JTGS-C2026-0016</w:t>
            </w:r>
          </w:p>
        </w:tc>
      </w:tr>
      <w:tr w14:paraId="49660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7"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0BA698A7">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64816EF4">
            <w:pPr>
              <w:keepNext w:val="0"/>
              <w:keepLines w:val="0"/>
              <w:pageBreakBefore w:val="0"/>
              <w:widowControl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招标内容</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191BC94F">
            <w:pPr>
              <w:pageBreakBefore w:val="0"/>
              <w:numPr>
                <w:numId w:val="0"/>
              </w:numPr>
              <w:spacing w:line="380" w:lineRule="exact"/>
              <w:jc w:val="both"/>
              <w:outlineLvl w:val="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盱眙经济开发区地表水站和污水管网站运维服务项目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具体详见</w:t>
            </w:r>
            <w:r>
              <w:rPr>
                <w:rFonts w:hint="eastAsia" w:ascii="宋体" w:hAnsi="宋体" w:cs="宋体"/>
                <w:color w:val="auto"/>
                <w:sz w:val="24"/>
                <w:szCs w:val="24"/>
                <w:highlight w:val="none"/>
                <w:lang w:val="en-US" w:eastAsia="zh-CN"/>
              </w:rPr>
              <w:t>第四章磋商项目采购需求。</w:t>
            </w:r>
          </w:p>
        </w:tc>
      </w:tr>
      <w:tr w14:paraId="53D8C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2"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4AF59CB5">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1B0013E8">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采购预算价</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2848B1BB">
            <w:pPr>
              <w:keepNext w:val="0"/>
              <w:keepLines w:val="0"/>
              <w:pageBreakBefore w:val="0"/>
              <w:spacing w:line="380" w:lineRule="exact"/>
              <w:jc w:val="both"/>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180万元</w:t>
            </w:r>
          </w:p>
        </w:tc>
      </w:tr>
      <w:tr w14:paraId="2C786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6EDA26D1">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7DA2348A">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4E70679">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九十日历天</w:t>
            </w:r>
          </w:p>
        </w:tc>
      </w:tr>
      <w:tr w14:paraId="7D8E9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7"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550F14BA">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4BF2B875">
            <w:pPr>
              <w:keepNext w:val="0"/>
              <w:keepLines w:val="0"/>
              <w:pageBreakBefore w:val="0"/>
              <w:widowControl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936362A">
            <w:pPr>
              <w:pStyle w:val="12"/>
              <w:keepNext w:val="0"/>
              <w:keepLines w:val="0"/>
              <w:pageBreakBefore w:val="0"/>
              <w:widowControl w:val="0"/>
              <w:numPr>
                <w:ilvl w:val="0"/>
                <w:numId w:val="0"/>
              </w:numPr>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成交价的1%</w:t>
            </w:r>
          </w:p>
        </w:tc>
      </w:tr>
      <w:tr w14:paraId="03861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6A0BE40D">
            <w:pPr>
              <w:keepNext w:val="0"/>
              <w:keepLines w:val="0"/>
              <w:pageBreakBefore w:val="0"/>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458C477D">
            <w:pPr>
              <w:keepNext w:val="0"/>
              <w:keepLines w:val="0"/>
              <w:pageBreakBefore w:val="0"/>
              <w:spacing w:line="38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yellow"/>
                <w:lang w:val="en-US" w:eastAsia="zh-CN"/>
              </w:rPr>
              <w:t>付款方式</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378D5435">
            <w:pPr>
              <w:keepNext w:val="0"/>
              <w:keepLines w:val="0"/>
              <w:pageBreakBefore w:val="0"/>
              <w:spacing w:line="38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合同签订生效后预付合同价</w:t>
            </w:r>
            <w:r>
              <w:rPr>
                <w:rFonts w:hint="eastAsia" w:ascii="宋体" w:hAnsi="宋体" w:eastAsia="宋体" w:cs="宋体"/>
                <w:color w:val="auto"/>
                <w:sz w:val="24"/>
                <w:szCs w:val="24"/>
                <w:highlight w:val="none"/>
                <w:lang w:val="en-US" w:eastAsia="zh-CN"/>
              </w:rPr>
              <w:t>第一年的</w:t>
            </w:r>
            <w:r>
              <w:rPr>
                <w:rFonts w:hint="eastAsia" w:ascii="宋体" w:hAnsi="宋体" w:eastAsia="宋体" w:cs="宋体"/>
                <w:color w:val="auto"/>
                <w:sz w:val="24"/>
                <w:szCs w:val="24"/>
                <w:highlight w:val="none"/>
                <w:lang w:eastAsia="zh-CN"/>
              </w:rPr>
              <w:t>40%作为预付款</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付款前乙方须提供等额银行出具付款保函作为担保），</w:t>
            </w:r>
            <w:r>
              <w:rPr>
                <w:rFonts w:hint="eastAsia" w:ascii="宋体" w:hAnsi="宋体" w:eastAsia="宋体" w:cs="宋体"/>
                <w:color w:val="auto"/>
                <w:sz w:val="24"/>
                <w:szCs w:val="24"/>
                <w:highlight w:val="none"/>
                <w:lang w:val="en-US" w:eastAsia="zh-CN"/>
              </w:rPr>
              <w:t>余款根据每年考核打分情况结算费用，分三次结清。</w:t>
            </w:r>
          </w:p>
          <w:p w14:paraId="020B1C41">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如合同费用需审计，乙方同意合同最终价款以政府相关机构审核/审计为准。</w:t>
            </w:r>
          </w:p>
          <w:p w14:paraId="4D2F747D">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甲方付款前10日，乙方应向甲方提供与付款金额等额合法有效的发票，否则甲方可以暂停付款，直至乙方提供等额合法有效的发票，且不承担任何违约责任。</w:t>
            </w:r>
          </w:p>
        </w:tc>
      </w:tr>
      <w:tr w14:paraId="45ECE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45715EDD">
            <w:pPr>
              <w:keepNext w:val="0"/>
              <w:keepLines w:val="0"/>
              <w:pageBreakBefore w:val="0"/>
              <w:spacing w:line="3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07B025AD">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磋商文件获取</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6BB068F5">
            <w:pPr>
              <w:keepNext w:val="0"/>
              <w:keepLines w:val="0"/>
              <w:pageBreakBefore w:val="0"/>
              <w:spacing w:line="3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登录</w:t>
            </w:r>
            <w:r>
              <w:rPr>
                <w:rFonts w:hint="eastAsia" w:ascii="宋体" w:hAnsi="宋体" w:eastAsia="宋体" w:cs="宋体"/>
                <w:color w:val="auto"/>
                <w:sz w:val="24"/>
                <w:szCs w:val="24"/>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w:t>
            </w:r>
          </w:p>
        </w:tc>
      </w:tr>
      <w:tr w14:paraId="01AC5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3A84EAEA">
            <w:pPr>
              <w:keepNext w:val="0"/>
              <w:keepLines w:val="0"/>
              <w:pageBreakBefore w:val="0"/>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3EFE80ED">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3313A2E9">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p>
        </w:tc>
      </w:tr>
      <w:tr w14:paraId="22C5B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5246C057">
            <w:pPr>
              <w:keepNext w:val="0"/>
              <w:keepLines w:val="0"/>
              <w:pageBreakBefore w:val="0"/>
              <w:spacing w:line="3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774695D0">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2F8D33E8">
            <w:pPr>
              <w:keepNext w:val="0"/>
              <w:keepLines w:val="0"/>
              <w:pageBreakBefore w:val="0"/>
              <w:spacing w:line="380" w:lineRule="exact"/>
              <w:jc w:val="both"/>
              <w:rPr>
                <w:rFonts w:hint="eastAsia" w:ascii="宋体" w:hAnsi="宋体" w:eastAsia="宋体" w:cs="宋体"/>
                <w:b/>
                <w:color w:val="auto"/>
                <w:sz w:val="24"/>
                <w:szCs w:val="24"/>
                <w:highlight w:val="none"/>
              </w:rPr>
            </w:pPr>
            <w:bookmarkStart w:id="0" w:name="OLE_LINK76"/>
            <w:r>
              <w:rPr>
                <w:rFonts w:hint="eastAsia" w:ascii="宋体" w:hAnsi="宋体" w:cs="宋体"/>
                <w:bCs/>
                <w:color w:val="auto"/>
                <w:sz w:val="24"/>
                <w:szCs w:val="24"/>
                <w:highlight w:val="none"/>
                <w:shd w:val="clear" w:color="auto" w:fill="FFFFFF"/>
                <w:lang w:eastAsia="zh-CN"/>
              </w:rPr>
              <w:t>202</w:t>
            </w:r>
            <w:r>
              <w:rPr>
                <w:rFonts w:hint="eastAsia" w:ascii="宋体" w:hAnsi="宋体" w:cs="宋体"/>
                <w:bCs/>
                <w:color w:val="auto"/>
                <w:sz w:val="24"/>
                <w:szCs w:val="24"/>
                <w:highlight w:val="none"/>
                <w:shd w:val="clear" w:color="auto" w:fill="FFFFFF"/>
                <w:lang w:val="en-US" w:eastAsia="zh-CN"/>
              </w:rPr>
              <w:t>6</w:t>
            </w:r>
            <w:r>
              <w:rPr>
                <w:rFonts w:hint="eastAsia" w:ascii="宋体" w:hAnsi="宋体" w:cs="宋体"/>
                <w:bCs/>
                <w:color w:val="auto"/>
                <w:sz w:val="24"/>
                <w:szCs w:val="24"/>
                <w:highlight w:val="none"/>
                <w:shd w:val="clear" w:color="auto" w:fill="FFFFFF"/>
                <w:lang w:eastAsia="zh-CN"/>
              </w:rPr>
              <w:t>年</w:t>
            </w:r>
            <w:r>
              <w:rPr>
                <w:rFonts w:hint="eastAsia" w:ascii="宋体" w:hAnsi="宋体" w:cs="宋体"/>
                <w:bCs/>
                <w:color w:val="auto"/>
                <w:sz w:val="24"/>
                <w:szCs w:val="24"/>
                <w:highlight w:val="none"/>
                <w:shd w:val="clear" w:color="auto" w:fill="FFFFFF"/>
                <w:lang w:val="en-US" w:eastAsia="zh-CN"/>
              </w:rPr>
              <w:t>5月19日</w:t>
            </w:r>
            <w:r>
              <w:rPr>
                <w:rFonts w:hint="eastAsia" w:ascii="宋体" w:hAnsi="宋体" w:eastAsia="宋体" w:cs="宋体"/>
                <w:bCs/>
                <w:color w:val="auto"/>
                <w:sz w:val="24"/>
                <w:szCs w:val="24"/>
                <w:highlight w:val="none"/>
                <w:shd w:val="clear" w:color="auto" w:fill="FFFFFF"/>
              </w:rPr>
              <w:t>09点00分</w:t>
            </w:r>
            <w:r>
              <w:rPr>
                <w:rFonts w:hint="eastAsia" w:ascii="宋体" w:hAnsi="宋体" w:eastAsia="宋体" w:cs="宋体"/>
                <w:b/>
                <w:color w:val="auto"/>
                <w:sz w:val="24"/>
                <w:szCs w:val="24"/>
                <w:highlight w:val="none"/>
              </w:rPr>
              <w:t>（北京时间）</w:t>
            </w:r>
            <w:bookmarkEnd w:id="0"/>
          </w:p>
        </w:tc>
      </w:tr>
      <w:tr w14:paraId="5B950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95"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55F0E41E">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41DDBD9F">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代理服务费</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3465459A">
            <w:pPr>
              <w:keepNext w:val="0"/>
              <w:keepLines w:val="0"/>
              <w:pageBreakBefore w:val="0"/>
              <w:spacing w:line="380" w:lineRule="exact"/>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本次采购项目招标代理费</w:t>
            </w:r>
            <w:r>
              <w:rPr>
                <w:rFonts w:hint="eastAsia" w:ascii="宋体" w:hAnsi="宋体" w:cs="宋体"/>
                <w:color w:val="auto"/>
                <w:sz w:val="24"/>
                <w:szCs w:val="24"/>
                <w:highlight w:val="none"/>
                <w:u w:val="single"/>
                <w:lang w:val="en-US" w:eastAsia="zh-CN"/>
              </w:rPr>
              <w:t>6380</w:t>
            </w:r>
            <w:r>
              <w:rPr>
                <w:rFonts w:hint="eastAsia" w:ascii="宋体" w:hAnsi="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，由成交供应商在成交通知书发出前向采购代理机构一次性付清。</w:t>
            </w:r>
          </w:p>
        </w:tc>
      </w:tr>
      <w:tr w14:paraId="47775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72B03933">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64583A71">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中标通知书领取</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4BB6D02C">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代理机构</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rPr>
              <w:t>领取</w:t>
            </w:r>
          </w:p>
        </w:tc>
      </w:tr>
      <w:tr w14:paraId="3DDA7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4BCD2CD1">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5AAE22D6">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资质要求</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1433F380">
            <w:pPr>
              <w:keepNext w:val="0"/>
              <w:keepLines w:val="0"/>
              <w:pageBreakBefore w:val="0"/>
              <w:spacing w:line="3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详见采购公告要求</w:t>
            </w:r>
          </w:p>
        </w:tc>
      </w:tr>
      <w:tr w14:paraId="2EBB3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6A2763B1">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38CAE7E1">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5B647300">
            <w:pPr>
              <w:keepNext w:val="0"/>
              <w:keepLines w:val="0"/>
              <w:pageBreakBefore w:val="0"/>
              <w:spacing w:line="38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w:t>
            </w:r>
          </w:p>
        </w:tc>
      </w:tr>
    </w:tbl>
    <w:p w14:paraId="29ED2BE5">
      <w:pPr>
        <w:pageBreakBefore w:val="0"/>
        <w:widowControl/>
        <w:numPr>
          <w:ilvl w:val="0"/>
          <w:numId w:val="1"/>
        </w:numPr>
        <w:spacing w:after="100" w:afterAutospacing="1" w:line="380" w:lineRule="exact"/>
        <w:jc w:val="center"/>
        <w:outlineLvl w:val="0"/>
        <w:rPr>
          <w:rFonts w:hint="default" w:ascii="宋体" w:hAnsi="宋体" w:eastAsia="宋体" w:cs="宋体"/>
          <w:b/>
          <w:bCs/>
          <w:color w:val="auto"/>
          <w:sz w:val="32"/>
          <w:szCs w:val="32"/>
          <w:highlight w:val="none"/>
          <w:lang w:val="en-US"/>
        </w:rPr>
      </w:pPr>
      <w:r>
        <w:rPr>
          <w:rFonts w:hint="eastAsia" w:ascii="宋体" w:hAnsi="宋体" w:eastAsia="宋体" w:cs="宋体"/>
          <w:b/>
          <w:color w:val="auto"/>
          <w:sz w:val="30"/>
          <w:szCs w:val="30"/>
          <w:highlight w:val="none"/>
        </w:rPr>
        <w:t xml:space="preserve"> </w:t>
      </w:r>
      <w:r>
        <w:rPr>
          <w:rFonts w:hint="eastAsia" w:ascii="宋体" w:hAnsi="宋体" w:cs="宋体"/>
          <w:b/>
          <w:bCs/>
          <w:color w:val="auto"/>
          <w:sz w:val="28"/>
          <w:szCs w:val="28"/>
          <w:highlight w:val="none"/>
          <w:lang w:val="en-US" w:eastAsia="zh-CN"/>
        </w:rPr>
        <w:t>盱眙经济开发区地表水站和污水管网站运维服务项目       竞争性磋商公告</w:t>
      </w:r>
    </w:p>
    <w:p w14:paraId="35D93147">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zh-TW" w:eastAsia="zh-TW"/>
        </w:rPr>
      </w:pPr>
      <w:bookmarkStart w:id="1" w:name="OLE_LINK40"/>
      <w:r>
        <w:rPr>
          <w:rFonts w:hint="eastAsia" w:ascii="宋体" w:hAnsi="宋体" w:eastAsia="宋体" w:cs="宋体"/>
          <w:color w:val="auto"/>
          <w:sz w:val="24"/>
          <w:szCs w:val="24"/>
          <w:highlight w:val="none"/>
          <w:lang w:val="zh-TW" w:eastAsia="zh-TW"/>
        </w:rPr>
        <w:t>受</w:t>
      </w:r>
      <w:r>
        <w:rPr>
          <w:rFonts w:hint="eastAsia" w:ascii="宋体" w:hAnsi="宋体" w:cs="宋体"/>
          <w:color w:val="auto"/>
          <w:sz w:val="24"/>
          <w:szCs w:val="24"/>
          <w:highlight w:val="none"/>
          <w:u w:val="single"/>
          <w:lang w:val="en-US" w:eastAsia="zh-CN"/>
        </w:rPr>
        <w:t>江苏盱眙经济开发区管理委员会</w:t>
      </w:r>
      <w:r>
        <w:rPr>
          <w:rFonts w:hint="eastAsia" w:ascii="宋体" w:hAnsi="宋体" w:eastAsia="宋体" w:cs="宋体"/>
          <w:color w:val="auto"/>
          <w:sz w:val="24"/>
          <w:szCs w:val="24"/>
          <w:highlight w:val="none"/>
          <w:lang w:val="zh-TW" w:eastAsia="zh-TW"/>
        </w:rPr>
        <w:t>的委托，</w:t>
      </w:r>
      <w:r>
        <w:rPr>
          <w:rFonts w:hint="eastAsia" w:ascii="宋体" w:hAnsi="宋体" w:eastAsia="宋体" w:cs="宋体"/>
          <w:color w:val="auto"/>
          <w:sz w:val="24"/>
          <w:szCs w:val="24"/>
          <w:highlight w:val="none"/>
          <w:u w:val="single"/>
          <w:lang w:val="en-US" w:eastAsia="zh-CN"/>
        </w:rPr>
        <w:t>江苏骏通建设项目管理咨询有限公司</w:t>
      </w:r>
      <w:r>
        <w:rPr>
          <w:rFonts w:hint="eastAsia" w:ascii="宋体" w:hAnsi="宋体" w:eastAsia="宋体" w:cs="宋体"/>
          <w:color w:val="auto"/>
          <w:sz w:val="24"/>
          <w:szCs w:val="24"/>
          <w:highlight w:val="none"/>
          <w:lang w:val="zh-TW" w:eastAsia="zh-TW"/>
        </w:rPr>
        <w:t>就</w:t>
      </w:r>
      <w:r>
        <w:rPr>
          <w:rFonts w:hint="eastAsia" w:ascii="宋体" w:hAnsi="宋体" w:cs="宋体"/>
          <w:color w:val="auto"/>
          <w:sz w:val="24"/>
          <w:szCs w:val="24"/>
          <w:highlight w:val="none"/>
          <w:u w:val="single"/>
          <w:lang w:val="en-US" w:eastAsia="zh-CN"/>
        </w:rPr>
        <w:t>盱眙经济开发区地表水站和污水管网站运维服务项目</w:t>
      </w:r>
      <w:r>
        <w:rPr>
          <w:rFonts w:hint="eastAsia" w:ascii="宋体" w:hAnsi="宋体" w:eastAsia="宋体" w:cs="宋体"/>
          <w:color w:val="auto"/>
          <w:sz w:val="24"/>
          <w:szCs w:val="24"/>
          <w:highlight w:val="none"/>
          <w:lang w:val="zh-TW" w:eastAsia="zh-TW"/>
        </w:rPr>
        <w:t>进行“苏采云全流程不见面交易”采购，现邀请符合条件的供应商参加竞争性磋商。</w:t>
      </w:r>
    </w:p>
    <w:p w14:paraId="2BC488FE">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sz w:val="24"/>
          <w:szCs w:val="24"/>
        </w:rPr>
        <mc:AlternateContent>
          <mc:Choice Requires="wps">
            <w:drawing>
              <wp:anchor distT="0" distB="0" distL="114300" distR="114300" simplePos="0" relativeHeight="251659264" behindDoc="0" locked="0" layoutInCell="1" allowOverlap="1">
                <wp:simplePos x="0" y="0"/>
                <wp:positionH relativeFrom="column">
                  <wp:posOffset>-76835</wp:posOffset>
                </wp:positionH>
                <wp:positionV relativeFrom="paragraph">
                  <wp:posOffset>39370</wp:posOffset>
                </wp:positionV>
                <wp:extent cx="6124575" cy="1412875"/>
                <wp:effectExtent l="4445" t="4445" r="5080" b="11430"/>
                <wp:wrapNone/>
                <wp:docPr id="3" name="矩形 3"/>
                <wp:cNvGraphicFramePr/>
                <a:graphic xmlns:a="http://schemas.openxmlformats.org/drawingml/2006/main">
                  <a:graphicData uri="http://schemas.microsoft.com/office/word/2010/wordprocessingShape">
                    <wps:wsp>
                      <wps:cNvSpPr/>
                      <wps:spPr>
                        <a:xfrm>
                          <a:off x="0" y="0"/>
                          <a:ext cx="6124575" cy="14128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A8CB3D">
                            <w:pPr>
                              <w:spacing w:line="520" w:lineRule="exact"/>
                              <w:ind w:firstLine="537" w:firstLineChars="192"/>
                              <w:rPr>
                                <w:rFonts w:hint="eastAsia" w:ascii="仿宋" w:hAnsi="仿宋" w:eastAsia="仿宋" w:cs="仿宋"/>
                                <w:sz w:val="28"/>
                                <w:szCs w:val="28"/>
                              </w:rPr>
                            </w:pPr>
                            <w:r>
                              <w:rPr>
                                <w:rFonts w:hint="eastAsia" w:ascii="仿宋" w:hAnsi="仿宋" w:eastAsia="仿宋" w:cs="仿宋"/>
                                <w:sz w:val="28"/>
                                <w:szCs w:val="28"/>
                              </w:rPr>
                              <w:t>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盱眙经济开发区地表水站和污水管网站运维服务项目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的潜在供应商应在</w:t>
                            </w:r>
                            <w:r>
                              <w:rPr>
                                <w:rFonts w:hint="eastAsia" w:ascii="仿宋" w:hAnsi="仿宋" w:eastAsia="仿宋" w:cs="仿宋"/>
                                <w:sz w:val="28"/>
                                <w:szCs w:val="28"/>
                                <w:lang w:eastAsia="zh-CN"/>
                              </w:rPr>
                              <w:t>江苏省政府采购网或者淮安市政府采购网获取采购文件</w:t>
                            </w:r>
                            <w:r>
                              <w:rPr>
                                <w:rFonts w:hint="eastAsia" w:ascii="仿宋" w:hAnsi="仿宋" w:eastAsia="仿宋" w:cs="仿宋"/>
                                <w:sz w:val="28"/>
                                <w:szCs w:val="28"/>
                              </w:rPr>
                              <w:t>（</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）自行免费下载磋商文件，并于</w:t>
                            </w:r>
                            <w:r>
                              <w:rPr>
                                <w:rFonts w:hint="eastAsia" w:ascii="仿宋" w:hAnsi="仿宋" w:eastAsia="仿宋" w:cs="仿宋"/>
                                <w:color w:val="C00000"/>
                                <w:sz w:val="28"/>
                                <w:szCs w:val="28"/>
                                <w:lang w:val="en-US" w:eastAsia="zh-CN"/>
                              </w:rPr>
                              <w:t>2026年5月19日9</w:t>
                            </w:r>
                            <w:r>
                              <w:rPr>
                                <w:rFonts w:hint="eastAsia" w:ascii="仿宋" w:hAnsi="仿宋" w:eastAsia="仿宋" w:cs="仿宋"/>
                                <w:sz w:val="28"/>
                                <w:szCs w:val="28"/>
                              </w:rPr>
                              <w:t>点</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分（北京时间）前提交响应文件。</w:t>
                            </w:r>
                          </w:p>
                          <w:p w14:paraId="37FB1AF1"/>
                        </w:txbxContent>
                      </wps:txbx>
                      <wps:bodyPr upright="1"/>
                    </wps:wsp>
                  </a:graphicData>
                </a:graphic>
              </wp:anchor>
            </w:drawing>
          </mc:Choice>
          <mc:Fallback>
            <w:pict>
              <v:rect id="_x0000_s1026" o:spid="_x0000_s1026" o:spt="1" style="position:absolute;left:0pt;margin-left:-6.05pt;margin-top:3.1pt;height:111.25pt;width:482.25pt;z-index:251659264;mso-width-relative:page;mso-height-relative:page;" fillcolor="#FFFFFF" filled="t" stroked="t" coordsize="21600,21600" o:gfxdata="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wD9uF2AAAAAkBAAAPAAAAAAAAAAEAIAAAACIAAABkcnMvZG93&#10;bnJldi54bWxQSwECFAAUAAAACACHTuJA4WeK3QACAAAqBAAADgAAAAAAAAABACAAAAAnAQAAZHJz&#10;L2Uyb0RvYy54bWxQSwUGAAAAAAYABgBZAQAAmQUAAAAA&#10;">
                <v:fill on="t" focussize="0,0"/>
                <v:stroke color="#000000" joinstyle="miter"/>
                <v:imagedata o:title=""/>
                <o:lock v:ext="edit" aspectratio="f"/>
                <v:textbox>
                  <w:txbxContent>
                    <w:p w14:paraId="7FA8CB3D">
                      <w:pPr>
                        <w:spacing w:line="520" w:lineRule="exact"/>
                        <w:ind w:firstLine="537" w:firstLineChars="192"/>
                        <w:rPr>
                          <w:rFonts w:hint="eastAsia" w:ascii="仿宋" w:hAnsi="仿宋" w:eastAsia="仿宋" w:cs="仿宋"/>
                          <w:sz w:val="28"/>
                          <w:szCs w:val="28"/>
                        </w:rPr>
                      </w:pPr>
                      <w:r>
                        <w:rPr>
                          <w:rFonts w:hint="eastAsia" w:ascii="仿宋" w:hAnsi="仿宋" w:eastAsia="仿宋" w:cs="仿宋"/>
                          <w:sz w:val="28"/>
                          <w:szCs w:val="28"/>
                        </w:rPr>
                        <w:t>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盱眙经济开发区地表水站和污水管网站运维服务项目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的潜在供应商应在</w:t>
                      </w:r>
                      <w:r>
                        <w:rPr>
                          <w:rFonts w:hint="eastAsia" w:ascii="仿宋" w:hAnsi="仿宋" w:eastAsia="仿宋" w:cs="仿宋"/>
                          <w:sz w:val="28"/>
                          <w:szCs w:val="28"/>
                          <w:lang w:eastAsia="zh-CN"/>
                        </w:rPr>
                        <w:t>江苏省政府采购网或者淮安市政府采购网获取采购文件</w:t>
                      </w:r>
                      <w:r>
                        <w:rPr>
                          <w:rFonts w:hint="eastAsia" w:ascii="仿宋" w:hAnsi="仿宋" w:eastAsia="仿宋" w:cs="仿宋"/>
                          <w:sz w:val="28"/>
                          <w:szCs w:val="28"/>
                        </w:rPr>
                        <w:t>（</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）自行免费下载磋商文件，并于</w:t>
                      </w:r>
                      <w:r>
                        <w:rPr>
                          <w:rFonts w:hint="eastAsia" w:ascii="仿宋" w:hAnsi="仿宋" w:eastAsia="仿宋" w:cs="仿宋"/>
                          <w:color w:val="C00000"/>
                          <w:sz w:val="28"/>
                          <w:szCs w:val="28"/>
                          <w:lang w:val="en-US" w:eastAsia="zh-CN"/>
                        </w:rPr>
                        <w:t>2026年5月19日9</w:t>
                      </w:r>
                      <w:r>
                        <w:rPr>
                          <w:rFonts w:hint="eastAsia" w:ascii="仿宋" w:hAnsi="仿宋" w:eastAsia="仿宋" w:cs="仿宋"/>
                          <w:sz w:val="28"/>
                          <w:szCs w:val="28"/>
                        </w:rPr>
                        <w:t>点</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分（北京时间）前提交响应文件。</w:t>
                      </w:r>
                    </w:p>
                    <w:p w14:paraId="37FB1AF1"/>
                  </w:txbxContent>
                </v:textbox>
              </v:rect>
            </w:pict>
          </mc:Fallback>
        </mc:AlternateContent>
      </w:r>
    </w:p>
    <w:p w14:paraId="7B361E9B">
      <w:pPr>
        <w:pStyle w:val="4"/>
        <w:rPr>
          <w:rFonts w:hint="eastAsia" w:ascii="宋体" w:hAnsi="宋体" w:eastAsia="宋体" w:cs="宋体"/>
          <w:b/>
          <w:bCs/>
          <w:color w:val="auto"/>
          <w:sz w:val="24"/>
          <w:szCs w:val="24"/>
          <w:highlight w:val="none"/>
        </w:rPr>
      </w:pPr>
    </w:p>
    <w:p w14:paraId="1747232B">
      <w:pPr>
        <w:rPr>
          <w:rFonts w:hint="eastAsia" w:ascii="宋体" w:hAnsi="宋体" w:eastAsia="宋体" w:cs="宋体"/>
          <w:b/>
          <w:bCs/>
          <w:color w:val="auto"/>
          <w:sz w:val="24"/>
          <w:szCs w:val="24"/>
          <w:highlight w:val="none"/>
        </w:rPr>
      </w:pPr>
    </w:p>
    <w:p w14:paraId="01885DB7">
      <w:pPr>
        <w:pStyle w:val="4"/>
        <w:rPr>
          <w:rFonts w:hint="eastAsia" w:ascii="宋体" w:hAnsi="宋体" w:eastAsia="宋体" w:cs="宋体"/>
          <w:b/>
          <w:bCs/>
          <w:color w:val="auto"/>
          <w:sz w:val="24"/>
          <w:szCs w:val="24"/>
          <w:highlight w:val="none"/>
        </w:rPr>
      </w:pPr>
      <w:bookmarkStart w:id="35" w:name="_GoBack"/>
      <w:bookmarkEnd w:id="35"/>
    </w:p>
    <w:p w14:paraId="4B7C01FB">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2EDE6DB4">
      <w:pPr>
        <w:keepNext w:val="0"/>
        <w:keepLines w:val="0"/>
        <w:pageBreakBefore w:val="0"/>
        <w:widowControl w:val="0"/>
        <w:spacing w:line="360" w:lineRule="auto"/>
        <w:ind w:firstLine="480"/>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JSZC-320830-JTGS-C2026-0016</w:t>
      </w:r>
    </w:p>
    <w:p w14:paraId="29E3261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盱眙经济开发区地表水站和污水管网站运维服务项目</w:t>
      </w:r>
    </w:p>
    <w:p w14:paraId="49891C3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采购方式</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w:t>
      </w:r>
    </w:p>
    <w:p w14:paraId="252061D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highlight w:val="none"/>
          <w:lang w:val="en-US" w:eastAsia="zh-CN"/>
        </w:rPr>
        <w:t>180万元</w:t>
      </w:r>
      <w:r>
        <w:rPr>
          <w:rFonts w:hint="eastAsia" w:ascii="宋体" w:hAnsi="宋体" w:eastAsia="宋体" w:cs="宋体"/>
          <w:color w:val="auto"/>
          <w:sz w:val="24"/>
          <w:szCs w:val="24"/>
          <w:highlight w:val="none"/>
        </w:rPr>
        <w:t>；</w:t>
      </w:r>
    </w:p>
    <w:p w14:paraId="674B300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最高限价</w:t>
      </w: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highlight w:val="none"/>
          <w:lang w:val="en-US" w:eastAsia="zh-CN"/>
        </w:rPr>
        <w:t>180万元</w:t>
      </w:r>
      <w:r>
        <w:rPr>
          <w:rFonts w:hint="eastAsia" w:ascii="宋体" w:hAnsi="宋体" w:eastAsia="宋体" w:cs="宋体"/>
          <w:color w:val="auto"/>
          <w:sz w:val="24"/>
          <w:szCs w:val="24"/>
          <w:highlight w:val="none"/>
        </w:rPr>
        <w:t>；</w:t>
      </w:r>
    </w:p>
    <w:p w14:paraId="3D32BB7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（六）采购需求</w:t>
      </w:r>
      <w:r>
        <w:rPr>
          <w:rFonts w:hint="eastAsia" w:ascii="宋体" w:hAnsi="宋体" w:eastAsia="宋体" w:cs="宋体"/>
          <w:color w:val="auto"/>
          <w:sz w:val="24"/>
          <w:szCs w:val="24"/>
          <w:highlight w:val="none"/>
        </w:rPr>
        <w:t>：</w:t>
      </w:r>
      <w:bookmarkStart w:id="2" w:name="OLE_LINK73"/>
      <w:r>
        <w:rPr>
          <w:rFonts w:hint="eastAsia" w:ascii="宋体" w:hAnsi="宋体" w:cs="宋体"/>
          <w:color w:val="auto"/>
          <w:sz w:val="24"/>
          <w:szCs w:val="24"/>
          <w:highlight w:val="none"/>
          <w:lang w:val="en-US" w:eastAsia="zh-CN"/>
        </w:rPr>
        <w:t>盱眙经济开发区地表水站和污水管网站运维服务项目，具体详见第四章磋商项目采购需求</w:t>
      </w:r>
      <w:r>
        <w:rPr>
          <w:rFonts w:hint="eastAsia" w:ascii="宋体" w:hAnsi="宋体" w:eastAsia="宋体" w:cs="宋体"/>
          <w:color w:val="auto"/>
          <w:sz w:val="24"/>
          <w:szCs w:val="24"/>
          <w:highlight w:val="none"/>
        </w:rPr>
        <w:t>；</w:t>
      </w:r>
      <w:bookmarkEnd w:id="2"/>
    </w:p>
    <w:p w14:paraId="54BABDC2">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合同履行期限</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3年</w:t>
      </w:r>
      <w:r>
        <w:rPr>
          <w:rFonts w:hint="eastAsia" w:ascii="宋体" w:hAnsi="宋体" w:eastAsia="宋体" w:cs="宋体"/>
          <w:bCs/>
          <w:color w:val="auto"/>
          <w:sz w:val="24"/>
          <w:szCs w:val="24"/>
          <w:highlight w:val="none"/>
          <w:lang w:val="en-US" w:eastAsia="zh-CN"/>
        </w:rPr>
        <w:t>；</w:t>
      </w:r>
    </w:p>
    <w:p w14:paraId="63C208B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（八）本项目（是/否）接受联合体：否；</w:t>
      </w:r>
    </w:p>
    <w:p w14:paraId="3BC08BF2">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p>
    <w:p w14:paraId="30CBBE2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（一）符合《中华人民共和国政府采购法》第二十二条规定</w:t>
      </w:r>
      <w:r>
        <w:rPr>
          <w:rFonts w:hint="eastAsia" w:ascii="宋体" w:hAnsi="宋体" w:eastAsia="宋体" w:cs="宋体"/>
          <w:color w:val="auto"/>
          <w:sz w:val="24"/>
          <w:szCs w:val="24"/>
          <w:highlight w:val="none"/>
          <w:lang w:eastAsia="zh-CN"/>
        </w:rPr>
        <w:t>：</w:t>
      </w:r>
    </w:p>
    <w:p w14:paraId="2125985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bookmarkStart w:id="3" w:name="OLE_LINK48"/>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符合《中华人民共和国政府采购法》第二十二条规</w:t>
      </w:r>
      <w:r>
        <w:rPr>
          <w:rFonts w:hint="eastAsia" w:ascii="宋体" w:hAnsi="宋体" w:eastAsia="宋体" w:cs="宋体"/>
          <w:color w:val="auto"/>
          <w:sz w:val="24"/>
          <w:szCs w:val="24"/>
          <w:highlight w:val="none"/>
          <w:lang w:eastAsia="zh-CN"/>
        </w:rPr>
        <w:t>定的</w:t>
      </w:r>
      <w:r>
        <w:rPr>
          <w:rFonts w:hint="eastAsia" w:ascii="宋体" w:hAnsi="宋体" w:eastAsia="宋体" w:cs="宋体"/>
          <w:color w:val="auto"/>
          <w:sz w:val="24"/>
          <w:szCs w:val="24"/>
          <w:highlight w:val="none"/>
          <w:lang w:val="zh-CN"/>
        </w:rPr>
        <w:t>承诺</w:t>
      </w:r>
      <w:r>
        <w:rPr>
          <w:rFonts w:hint="eastAsia" w:ascii="宋体" w:hAnsi="宋体" w:eastAsia="宋体" w:cs="宋体"/>
          <w:color w:val="auto"/>
          <w:sz w:val="24"/>
          <w:szCs w:val="24"/>
          <w:highlight w:val="none"/>
          <w:lang w:val="en-US" w:eastAsia="zh-CN"/>
        </w:rPr>
        <w:t>书；</w:t>
      </w:r>
      <w:r>
        <w:rPr>
          <w:rFonts w:hint="eastAsia" w:ascii="宋体" w:hAnsi="宋体" w:eastAsia="宋体" w:cs="宋体"/>
          <w:color w:val="auto"/>
          <w:sz w:val="24"/>
          <w:szCs w:val="24"/>
          <w:highlight w:val="none"/>
          <w:lang w:val="zh-CN"/>
        </w:rPr>
        <w:t>（详见示范格式三）</w:t>
      </w:r>
      <w:bookmarkEnd w:id="3"/>
      <w:r>
        <w:rPr>
          <w:rFonts w:hint="eastAsia" w:ascii="宋体" w:hAnsi="宋体" w:eastAsia="宋体" w:cs="宋体"/>
          <w:color w:val="auto"/>
          <w:sz w:val="24"/>
          <w:szCs w:val="24"/>
          <w:highlight w:val="none"/>
        </w:rPr>
        <w:t>（扫描件上传至电子响应文件）</w:t>
      </w:r>
    </w:p>
    <w:p w14:paraId="5FDFBD7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bookmarkStart w:id="4" w:name="OLE_LINK50"/>
      <w:r>
        <w:rPr>
          <w:rFonts w:hint="eastAsia" w:ascii="宋体" w:hAnsi="宋体" w:eastAsia="宋体" w:cs="宋体"/>
          <w:color w:val="auto"/>
          <w:sz w:val="24"/>
          <w:szCs w:val="24"/>
          <w:highlight w:val="none"/>
          <w:lang w:val="en-US" w:eastAsia="zh-CN"/>
        </w:rPr>
        <w:t>2.</w:t>
      </w:r>
      <w:bookmarkStart w:id="5" w:name="OLE_LINK46"/>
      <w:r>
        <w:rPr>
          <w:rFonts w:hint="eastAsia" w:ascii="宋体" w:hAnsi="宋体" w:eastAsia="宋体" w:cs="宋体"/>
          <w:color w:val="auto"/>
          <w:sz w:val="24"/>
          <w:szCs w:val="24"/>
          <w:highlight w:val="none"/>
        </w:rPr>
        <w:t>法定代表人资格证明（</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示范格式一）和法定代表人身份证</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授权委托书（</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示范格式二）和受托人身份证；（扫描件上传至电子响应文件）</w:t>
      </w:r>
      <w:bookmarkEnd w:id="4"/>
      <w:bookmarkEnd w:id="5"/>
    </w:p>
    <w:p w14:paraId="56F4E48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bookmarkStart w:id="6" w:name="OLE_LINK51"/>
      <w:r>
        <w:rPr>
          <w:rFonts w:hint="eastAsia" w:ascii="宋体" w:hAnsi="宋体" w:eastAsia="宋体" w:cs="宋体"/>
          <w:color w:val="auto"/>
          <w:sz w:val="24"/>
          <w:szCs w:val="24"/>
          <w:highlight w:val="none"/>
          <w:lang w:val="en-US" w:eastAsia="zh-CN"/>
        </w:rPr>
        <w:t>3.</w:t>
      </w:r>
      <w:bookmarkStart w:id="7" w:name="OLE_LINK47"/>
      <w:r>
        <w:rPr>
          <w:rFonts w:hint="eastAsia" w:ascii="宋体" w:hAnsi="宋体" w:eastAsia="宋体" w:cs="宋体"/>
          <w:color w:val="auto"/>
          <w:sz w:val="24"/>
          <w:szCs w:val="24"/>
          <w:highlight w:val="none"/>
        </w:rPr>
        <w:t>有效的营业执照；</w:t>
      </w:r>
      <w:bookmarkStart w:id="8" w:name="OLE_LINK49"/>
      <w:r>
        <w:rPr>
          <w:rFonts w:hint="eastAsia" w:ascii="宋体" w:hAnsi="宋体" w:eastAsia="宋体" w:cs="宋体"/>
          <w:color w:val="auto"/>
          <w:sz w:val="24"/>
          <w:szCs w:val="24"/>
          <w:highlight w:val="none"/>
        </w:rPr>
        <w:t>（扫描件上传至电子响应文件）</w:t>
      </w:r>
      <w:bookmarkEnd w:id="6"/>
      <w:bookmarkEnd w:id="7"/>
      <w:bookmarkEnd w:id="8"/>
    </w:p>
    <w:p w14:paraId="6D9B684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bookmarkStart w:id="9" w:name="OLE_LINK52"/>
      <w:bookmarkStart w:id="10" w:name="OLE_LINK54"/>
      <w:r>
        <w:rPr>
          <w:rFonts w:hint="eastAsia" w:ascii="宋体" w:hAnsi="宋体" w:eastAsia="宋体" w:cs="宋体"/>
          <w:color w:val="auto"/>
          <w:sz w:val="24"/>
          <w:szCs w:val="24"/>
          <w:highlight w:val="none"/>
        </w:rPr>
        <w:t>中小企业声明函（格式按照示范格式四要求）或残疾人福利性单位声明函（格式按照示范格式五要求）（扫描件上传至电子响应文件）</w:t>
      </w:r>
      <w:bookmarkEnd w:id="9"/>
      <w:r>
        <w:rPr>
          <w:rFonts w:hint="eastAsia" w:ascii="宋体" w:hAnsi="宋体" w:eastAsia="宋体" w:cs="宋体"/>
          <w:color w:val="auto"/>
          <w:sz w:val="24"/>
          <w:szCs w:val="24"/>
          <w:highlight w:val="none"/>
        </w:rPr>
        <w:t>；</w:t>
      </w:r>
      <w:bookmarkEnd w:id="10"/>
    </w:p>
    <w:p w14:paraId="13E3041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bookmarkStart w:id="11" w:name="OLE_LINK53"/>
      <w:r>
        <w:rPr>
          <w:rFonts w:hint="eastAsia" w:ascii="宋体" w:hAnsi="宋体" w:eastAsia="宋体" w:cs="宋体"/>
          <w:color w:val="auto"/>
          <w:sz w:val="24"/>
          <w:szCs w:val="24"/>
          <w:highlight w:val="none"/>
        </w:rPr>
        <w:t>供应商未被“信用中国”网（</w:t>
      </w:r>
      <w:r>
        <w:rPr>
          <w:rFonts w:hint="eastAsia" w:ascii="宋体" w:hAnsi="宋体" w:eastAsia="宋体" w:cs="宋体"/>
          <w:color w:val="auto"/>
          <w:sz w:val="24"/>
          <w:szCs w:val="24"/>
          <w:highlight w:val="none"/>
          <w:lang w:eastAsia="zh-CN"/>
        </w:rPr>
        <w:t>https:</w:t>
      </w:r>
      <w:r>
        <w:rPr>
          <w:rFonts w:hint="eastAsia" w:ascii="宋体" w:hAnsi="宋体" w:eastAsia="宋体" w:cs="宋体"/>
          <w:color w:val="auto"/>
          <w:sz w:val="24"/>
          <w:szCs w:val="24"/>
          <w:highlight w:val="none"/>
        </w:rPr>
        <w:t>//www.creditchina.gov.cn/）列入失信被执行人、重大税收违法案件当事人名单。供应商未被“中国政府采购网”（</w:t>
      </w:r>
      <w:r>
        <w:rPr>
          <w:rFonts w:hint="eastAsia" w:ascii="宋体" w:hAnsi="宋体" w:eastAsia="宋体" w:cs="宋体"/>
          <w:color w:val="auto"/>
          <w:sz w:val="24"/>
          <w:szCs w:val="24"/>
          <w:highlight w:val="none"/>
          <w:lang w:eastAsia="zh-CN"/>
        </w:rPr>
        <w:t>http:</w:t>
      </w:r>
      <w:r>
        <w:rPr>
          <w:rFonts w:hint="eastAsia" w:ascii="宋体" w:hAnsi="宋体" w:eastAsia="宋体" w:cs="宋体"/>
          <w:color w:val="auto"/>
          <w:sz w:val="24"/>
          <w:szCs w:val="24"/>
          <w:highlight w:val="none"/>
        </w:rPr>
        <w:t>//www.ccgp.gov.cn/）列入政府采购严重违法失信行为记录名单。由采购单位（采购代理单位）组织磋商小组在资格审查时查询，一旦被查询存在上述失信行为记录名单的，将视为资格审查不通过）。</w:t>
      </w:r>
      <w:bookmarkEnd w:id="11"/>
    </w:p>
    <w:p w14:paraId="3629116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2882F8FB">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bookmarkStart w:id="12" w:name="OLE_LINK75"/>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zh-CN"/>
        </w:rPr>
        <w:t>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种方式落实政府采购促进中小企业发展的要求：</w:t>
      </w:r>
    </w:p>
    <w:p w14:paraId="4A2DFA84">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w:t>
      </w:r>
      <w:bookmarkStart w:id="13" w:name="OLE_LINK55"/>
      <w:r>
        <w:rPr>
          <w:rFonts w:hint="eastAsia" w:ascii="宋体" w:hAnsi="宋体" w:eastAsia="宋体" w:cs="宋体"/>
          <w:color w:val="auto"/>
          <w:sz w:val="24"/>
          <w:szCs w:val="24"/>
          <w:highlight w:val="none"/>
        </w:rPr>
        <w:t>本项目为专门面向中小企业采购的项目。</w:t>
      </w:r>
      <w:bookmarkEnd w:id="13"/>
    </w:p>
    <w:p w14:paraId="26762FDA">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本项目通过以下第（）种方式预留部分采购份额</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zh-CN"/>
        </w:rPr>
        <w:t>中小企业</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zh-CN"/>
        </w:rPr>
        <w:t>：</w:t>
      </w:r>
    </w:p>
    <w:p w14:paraId="52DCA29B">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（两项比例均应符合《政府采购促进中小企业发展管理办法》第八条规定）。</w:t>
      </w:r>
    </w:p>
    <w:p w14:paraId="4F520786">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（两项比例均应符合《政府采购促进中小企业发展管理办法》第八条规定）。</w:t>
      </w:r>
    </w:p>
    <w:p w14:paraId="01D13DBD">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3.本项目为非预留份额的采购项目，</w:t>
      </w:r>
      <w:r>
        <w:rPr>
          <w:rFonts w:hint="eastAsia" w:ascii="宋体" w:hAnsi="宋体" w:eastAsia="宋体" w:cs="宋体"/>
          <w:color w:val="auto"/>
          <w:sz w:val="24"/>
          <w:szCs w:val="24"/>
          <w:highlight w:val="none"/>
        </w:rPr>
        <w:t>对小微企业报价给予扣除，用扣除后的价格参加评审</w:t>
      </w:r>
      <w:r>
        <w:rPr>
          <w:rFonts w:hint="eastAsia" w:ascii="宋体" w:hAnsi="宋体" w:eastAsia="宋体" w:cs="宋体"/>
          <w:color w:val="auto"/>
          <w:sz w:val="24"/>
          <w:szCs w:val="24"/>
          <w:highlight w:val="none"/>
          <w:lang w:val="zh-CN"/>
        </w:rPr>
        <w:t>。</w:t>
      </w:r>
    </w:p>
    <w:p w14:paraId="0D76CC63">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本项目采购标的对应的中小企业划分标准所属行业为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p>
    <w:p w14:paraId="797396A8">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注：监狱企业、残疾人福利性单位视同小微企业。</w:t>
      </w:r>
      <w:bookmarkEnd w:id="12"/>
    </w:p>
    <w:p w14:paraId="49A6E6B7">
      <w:pPr>
        <w:keepNext w:val="0"/>
        <w:keepLines w:val="0"/>
        <w:pageBreakBefore w:val="0"/>
        <w:widowControl w:val="0"/>
        <w:numPr>
          <w:ilvl w:val="0"/>
          <w:numId w:val="2"/>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本项目的特定资格要求：</w:t>
      </w:r>
      <w:r>
        <w:rPr>
          <w:rFonts w:hint="eastAsia" w:ascii="宋体" w:hAnsi="宋体" w:cs="宋体"/>
          <w:color w:val="auto"/>
          <w:sz w:val="24"/>
          <w:szCs w:val="24"/>
          <w:highlight w:val="none"/>
          <w:lang w:val="en-US" w:eastAsia="zh-CN"/>
        </w:rPr>
        <w:t>无</w:t>
      </w:r>
    </w:p>
    <w:p w14:paraId="3451F1A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bookmarkStart w:id="14" w:name="OLE_LINK74"/>
      <w:r>
        <w:rPr>
          <w:rFonts w:hint="eastAsia" w:ascii="宋体" w:hAnsi="宋体" w:eastAsia="宋体" w:cs="宋体"/>
          <w:color w:val="auto"/>
          <w:sz w:val="24"/>
          <w:szCs w:val="24"/>
          <w:highlight w:val="none"/>
        </w:rPr>
        <w:t>（四）拒绝下述条件的供应商参加本次采购活动：</w:t>
      </w:r>
    </w:p>
    <w:p w14:paraId="18B10C6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1.供应商单位负责人为同一人或者存在直接控股、管理关系的不同供应商，不得同时参加同一合同项下的政府采购活动</w:t>
      </w:r>
      <w:r>
        <w:rPr>
          <w:rFonts w:hint="eastAsia" w:ascii="宋体" w:hAnsi="宋体" w:eastAsia="宋体" w:cs="宋体"/>
          <w:color w:val="auto"/>
          <w:sz w:val="24"/>
          <w:szCs w:val="24"/>
          <w:highlight w:val="none"/>
          <w:lang w:eastAsia="zh-CN"/>
        </w:rPr>
        <w:t>；</w:t>
      </w:r>
    </w:p>
    <w:p w14:paraId="48655068">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w:t>
      </w:r>
    </w:p>
    <w:p w14:paraId="15E81A2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“中国政府采购网”列入失信被执行人、重大税收违法案件当事人名单、政府采购严重违法失信行为记录名单。</w:t>
      </w:r>
      <w:bookmarkEnd w:id="14"/>
    </w:p>
    <w:p w14:paraId="57FB494F">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w:t>
      </w:r>
    </w:p>
    <w:p w14:paraId="651DB6F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C00000"/>
          <w:sz w:val="24"/>
          <w:szCs w:val="24"/>
          <w:highlight w:val="none"/>
          <w:lang w:val="en-US" w:eastAsia="zh-CN"/>
        </w:rPr>
        <w:t>：202</w:t>
      </w:r>
      <w:r>
        <w:rPr>
          <w:rFonts w:hint="eastAsia" w:ascii="宋体" w:hAnsi="宋体" w:cs="宋体"/>
          <w:color w:val="C00000"/>
          <w:sz w:val="24"/>
          <w:szCs w:val="24"/>
          <w:highlight w:val="none"/>
          <w:lang w:val="en-US" w:eastAsia="zh-CN"/>
        </w:rPr>
        <w:t>6</w:t>
      </w:r>
      <w:r>
        <w:rPr>
          <w:rFonts w:hint="eastAsia" w:ascii="宋体" w:hAnsi="宋体" w:eastAsia="宋体" w:cs="宋体"/>
          <w:color w:val="C00000"/>
          <w:sz w:val="24"/>
          <w:szCs w:val="24"/>
          <w:highlight w:val="none"/>
          <w:lang w:val="en-US" w:eastAsia="zh-CN"/>
        </w:rPr>
        <w:t>年</w:t>
      </w:r>
      <w:r>
        <w:rPr>
          <w:rFonts w:hint="eastAsia" w:ascii="宋体" w:hAnsi="宋体" w:cs="宋体"/>
          <w:color w:val="C00000"/>
          <w:sz w:val="24"/>
          <w:szCs w:val="24"/>
          <w:highlight w:val="none"/>
          <w:lang w:val="en-US" w:eastAsia="zh-CN"/>
        </w:rPr>
        <w:t>4</w:t>
      </w:r>
      <w:r>
        <w:rPr>
          <w:rFonts w:hint="eastAsia" w:ascii="宋体" w:hAnsi="宋体" w:eastAsia="宋体" w:cs="宋体"/>
          <w:color w:val="C00000"/>
          <w:sz w:val="24"/>
          <w:szCs w:val="24"/>
          <w:highlight w:val="none"/>
          <w:lang w:val="en-US" w:eastAsia="zh-CN"/>
        </w:rPr>
        <w:t>月</w:t>
      </w:r>
      <w:r>
        <w:rPr>
          <w:rFonts w:hint="eastAsia" w:ascii="宋体" w:hAnsi="宋体" w:cs="宋体"/>
          <w:color w:val="C00000"/>
          <w:sz w:val="24"/>
          <w:szCs w:val="24"/>
          <w:highlight w:val="none"/>
          <w:lang w:val="en-US" w:eastAsia="zh-CN"/>
        </w:rPr>
        <w:t>30</w:t>
      </w:r>
      <w:r>
        <w:rPr>
          <w:rFonts w:hint="eastAsia" w:ascii="宋体" w:hAnsi="宋体" w:eastAsia="宋体" w:cs="宋体"/>
          <w:color w:val="C00000"/>
          <w:sz w:val="24"/>
          <w:szCs w:val="24"/>
          <w:highlight w:val="none"/>
          <w:lang w:val="en-US" w:eastAsia="zh-CN"/>
        </w:rPr>
        <w:t>日至202</w:t>
      </w:r>
      <w:r>
        <w:rPr>
          <w:rFonts w:hint="eastAsia" w:ascii="宋体" w:hAnsi="宋体" w:cs="宋体"/>
          <w:color w:val="C00000"/>
          <w:sz w:val="24"/>
          <w:szCs w:val="24"/>
          <w:highlight w:val="none"/>
          <w:lang w:val="en-US" w:eastAsia="zh-CN"/>
        </w:rPr>
        <w:t>6</w:t>
      </w:r>
      <w:r>
        <w:rPr>
          <w:rFonts w:hint="eastAsia" w:ascii="宋体" w:hAnsi="宋体" w:eastAsia="宋体" w:cs="宋体"/>
          <w:color w:val="C00000"/>
          <w:sz w:val="24"/>
          <w:szCs w:val="24"/>
          <w:highlight w:val="none"/>
          <w:lang w:val="en-US" w:eastAsia="zh-CN"/>
        </w:rPr>
        <w:t>年</w:t>
      </w:r>
      <w:r>
        <w:rPr>
          <w:rFonts w:hint="eastAsia" w:ascii="宋体" w:hAnsi="宋体" w:cs="宋体"/>
          <w:color w:val="C00000"/>
          <w:sz w:val="24"/>
          <w:szCs w:val="24"/>
          <w:highlight w:val="none"/>
          <w:lang w:val="en-US" w:eastAsia="zh-CN"/>
        </w:rPr>
        <w:t>5</w:t>
      </w:r>
      <w:r>
        <w:rPr>
          <w:rFonts w:hint="eastAsia" w:ascii="宋体" w:hAnsi="宋体" w:eastAsia="宋体" w:cs="宋体"/>
          <w:color w:val="C00000"/>
          <w:sz w:val="24"/>
          <w:szCs w:val="24"/>
          <w:highlight w:val="none"/>
          <w:lang w:val="en-US" w:eastAsia="zh-CN"/>
        </w:rPr>
        <w:t>月</w:t>
      </w:r>
      <w:r>
        <w:rPr>
          <w:rFonts w:hint="eastAsia" w:ascii="宋体" w:hAnsi="宋体" w:cs="宋体"/>
          <w:color w:val="C00000"/>
          <w:sz w:val="24"/>
          <w:szCs w:val="24"/>
          <w:highlight w:val="none"/>
          <w:lang w:val="en-US" w:eastAsia="zh-CN"/>
        </w:rPr>
        <w:t>12</w:t>
      </w:r>
      <w:r>
        <w:rPr>
          <w:rFonts w:hint="eastAsia" w:ascii="宋体" w:hAnsi="宋体" w:eastAsia="宋体" w:cs="宋体"/>
          <w:color w:val="C00000"/>
          <w:sz w:val="24"/>
          <w:szCs w:val="24"/>
          <w:highlight w:val="none"/>
          <w:lang w:val="en-US" w:eastAsia="zh-CN"/>
        </w:rPr>
        <w:t>日</w:t>
      </w:r>
      <w:r>
        <w:rPr>
          <w:rFonts w:hint="eastAsia" w:ascii="宋体" w:hAnsi="宋体" w:eastAsia="宋体" w:cs="宋体"/>
          <w:color w:val="auto"/>
          <w:sz w:val="24"/>
          <w:szCs w:val="24"/>
          <w:highlight w:val="none"/>
          <w:lang w:val="en-US" w:eastAsia="zh-CN"/>
        </w:rPr>
        <w:t>，每天上午8：30至11：30，下午14：30至17：30（北京时间，法定节假日除外）</w:t>
      </w:r>
    </w:p>
    <w:p w14:paraId="1F243BBC">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bookmarkStart w:id="15" w:name="OLE_LINK70"/>
      <w:r>
        <w:rPr>
          <w:rFonts w:hint="eastAsia" w:ascii="宋体" w:hAnsi="宋体" w:eastAsia="宋体" w:cs="宋体"/>
          <w:color w:val="auto"/>
          <w:sz w:val="24"/>
          <w:szCs w:val="24"/>
          <w:highlight w:val="none"/>
        </w:rPr>
        <w:t>江苏省政府采购网或者淮安市政府采购网</w:t>
      </w:r>
      <w:bookmarkEnd w:id="15"/>
      <w:r>
        <w:rPr>
          <w:rFonts w:hint="eastAsia" w:ascii="宋体" w:hAnsi="宋体" w:eastAsia="宋体" w:cs="宋体"/>
          <w:color w:val="auto"/>
          <w:sz w:val="24"/>
          <w:szCs w:val="24"/>
          <w:highlight w:val="none"/>
        </w:rPr>
        <w:t> </w:t>
      </w:r>
    </w:p>
    <w:p w14:paraId="71C165DB">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bookmarkStart w:id="16" w:name="OLE_LINK71"/>
      <w:r>
        <w:rPr>
          <w:rFonts w:hint="eastAsia" w:ascii="宋体" w:hAnsi="宋体" w:eastAsia="宋体" w:cs="宋体"/>
          <w:color w:val="auto"/>
          <w:sz w:val="24"/>
          <w:szCs w:val="24"/>
          <w:highlight w:val="none"/>
        </w:rPr>
        <w:t>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6"/>
    </w:p>
    <w:p w14:paraId="57429059">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119FB8F4">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四、响应文件提交</w:t>
      </w:r>
    </w:p>
    <w:p w14:paraId="11DCA376">
      <w:pPr>
        <w:keepNext w:val="0"/>
        <w:keepLines w:val="0"/>
        <w:pageBreakBefore w:val="0"/>
        <w:widowControl w:val="0"/>
        <w:spacing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截止时间：</w:t>
      </w:r>
      <w:r>
        <w:rPr>
          <w:rFonts w:hint="eastAsia" w:ascii="宋体" w:hAnsi="宋体" w:cs="宋体"/>
          <w:b w:val="0"/>
          <w:bCs/>
          <w:color w:val="C00000"/>
          <w:sz w:val="24"/>
          <w:szCs w:val="24"/>
          <w:highlight w:val="none"/>
          <w:lang w:eastAsia="zh-CN"/>
        </w:rPr>
        <w:t>202</w:t>
      </w:r>
      <w:r>
        <w:rPr>
          <w:rFonts w:hint="eastAsia" w:ascii="宋体" w:hAnsi="宋体" w:cs="宋体"/>
          <w:b w:val="0"/>
          <w:bCs/>
          <w:color w:val="C00000"/>
          <w:sz w:val="24"/>
          <w:szCs w:val="24"/>
          <w:highlight w:val="none"/>
          <w:lang w:val="en-US" w:eastAsia="zh-CN"/>
        </w:rPr>
        <w:t>6</w:t>
      </w:r>
      <w:r>
        <w:rPr>
          <w:rFonts w:hint="eastAsia" w:ascii="宋体" w:hAnsi="宋体" w:cs="宋体"/>
          <w:b w:val="0"/>
          <w:bCs/>
          <w:color w:val="C00000"/>
          <w:sz w:val="24"/>
          <w:szCs w:val="24"/>
          <w:highlight w:val="none"/>
          <w:lang w:eastAsia="zh-CN"/>
        </w:rPr>
        <w:t>年</w:t>
      </w:r>
      <w:r>
        <w:rPr>
          <w:rFonts w:hint="eastAsia" w:ascii="宋体" w:hAnsi="宋体" w:cs="宋体"/>
          <w:b w:val="0"/>
          <w:bCs/>
          <w:color w:val="C00000"/>
          <w:sz w:val="24"/>
          <w:szCs w:val="24"/>
          <w:highlight w:val="none"/>
          <w:lang w:val="en-US" w:eastAsia="zh-CN"/>
        </w:rPr>
        <w:t>5月19日</w:t>
      </w:r>
      <w:r>
        <w:rPr>
          <w:rFonts w:hint="eastAsia" w:ascii="宋体" w:hAnsi="宋体" w:eastAsia="宋体" w:cs="宋体"/>
          <w:b w:val="0"/>
          <w:bCs/>
          <w:color w:val="C00000"/>
          <w:sz w:val="24"/>
          <w:szCs w:val="24"/>
          <w:highlight w:val="none"/>
        </w:rPr>
        <w:t>09:00</w:t>
      </w:r>
      <w:r>
        <w:rPr>
          <w:rFonts w:hint="eastAsia" w:ascii="宋体" w:hAnsi="宋体" w:eastAsia="宋体" w:cs="宋体"/>
          <w:b w:val="0"/>
          <w:bCs/>
          <w:color w:val="auto"/>
          <w:sz w:val="24"/>
          <w:szCs w:val="24"/>
          <w:highlight w:val="none"/>
        </w:rPr>
        <w:t>（北京时间）</w:t>
      </w:r>
    </w:p>
    <w:p w14:paraId="13212ABB">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地点：</w:t>
      </w:r>
      <w:bookmarkStart w:id="17" w:name="OLE_LINK72"/>
      <w:r>
        <w:rPr>
          <w:rFonts w:hint="eastAsia" w:ascii="宋体" w:hAnsi="宋体" w:eastAsia="宋体" w:cs="宋体"/>
          <w:b w:val="0"/>
          <w:bCs/>
          <w:color w:val="auto"/>
          <w:sz w:val="24"/>
          <w:szCs w:val="24"/>
          <w:highlight w:val="none"/>
        </w:rPr>
        <w:t>本项目采用远程“不见面”开标方式，无需到现场提交，请供应商在响应文件提交截止前提前登入苏采云政府采购一体化平台（网址：http://jszfcg.jscz.gov.cn/jszc/login）提交响应文件</w:t>
      </w:r>
      <w:bookmarkEnd w:id="17"/>
      <w:r>
        <w:rPr>
          <w:rFonts w:hint="eastAsia" w:ascii="宋体" w:hAnsi="宋体" w:eastAsia="宋体" w:cs="宋体"/>
          <w:b w:val="0"/>
          <w:bCs/>
          <w:color w:val="auto"/>
          <w:sz w:val="24"/>
          <w:szCs w:val="24"/>
          <w:highlight w:val="none"/>
        </w:rPr>
        <w:t>。 </w:t>
      </w:r>
    </w:p>
    <w:p w14:paraId="443DC3D7">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五、开启</w:t>
      </w:r>
    </w:p>
    <w:p w14:paraId="7E29CA8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cs="宋体"/>
          <w:b w:val="0"/>
          <w:bCs/>
          <w:color w:val="C00000"/>
          <w:sz w:val="24"/>
          <w:szCs w:val="24"/>
          <w:highlight w:val="none"/>
          <w:lang w:eastAsia="zh-CN"/>
        </w:rPr>
        <w:t>202</w:t>
      </w:r>
      <w:r>
        <w:rPr>
          <w:rFonts w:hint="eastAsia" w:ascii="宋体" w:hAnsi="宋体" w:cs="宋体"/>
          <w:b w:val="0"/>
          <w:bCs/>
          <w:color w:val="C00000"/>
          <w:sz w:val="24"/>
          <w:szCs w:val="24"/>
          <w:highlight w:val="none"/>
          <w:lang w:val="en-US" w:eastAsia="zh-CN"/>
        </w:rPr>
        <w:t>6</w:t>
      </w:r>
      <w:r>
        <w:rPr>
          <w:rFonts w:hint="eastAsia" w:ascii="宋体" w:hAnsi="宋体" w:cs="宋体"/>
          <w:b w:val="0"/>
          <w:bCs/>
          <w:color w:val="C00000"/>
          <w:sz w:val="24"/>
          <w:szCs w:val="24"/>
          <w:highlight w:val="none"/>
          <w:lang w:eastAsia="zh-CN"/>
        </w:rPr>
        <w:t>年</w:t>
      </w:r>
      <w:r>
        <w:rPr>
          <w:rFonts w:hint="eastAsia" w:ascii="宋体" w:hAnsi="宋体" w:cs="宋体"/>
          <w:b w:val="0"/>
          <w:bCs/>
          <w:color w:val="C00000"/>
          <w:sz w:val="24"/>
          <w:szCs w:val="24"/>
          <w:highlight w:val="none"/>
          <w:lang w:val="en-US" w:eastAsia="zh-CN"/>
        </w:rPr>
        <w:t>5月19日</w:t>
      </w:r>
      <w:r>
        <w:rPr>
          <w:rFonts w:hint="eastAsia" w:ascii="宋体" w:hAnsi="宋体" w:eastAsia="宋体" w:cs="宋体"/>
          <w:b w:val="0"/>
          <w:bCs/>
          <w:color w:val="C00000"/>
          <w:sz w:val="24"/>
          <w:szCs w:val="24"/>
          <w:highlight w:val="none"/>
        </w:rPr>
        <w:t>09:00</w:t>
      </w:r>
      <w:r>
        <w:rPr>
          <w:rFonts w:hint="eastAsia" w:ascii="宋体" w:hAnsi="宋体" w:eastAsia="宋体" w:cs="宋体"/>
          <w:color w:val="auto"/>
          <w:sz w:val="24"/>
          <w:szCs w:val="24"/>
          <w:highlight w:val="none"/>
        </w:rPr>
        <w:t>（北京时间）</w:t>
      </w:r>
    </w:p>
    <w:p w14:paraId="459D390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地点：淮安市公共资源交易中心盱眙分中心（具体标室见中心当日显示屏） </w:t>
      </w:r>
    </w:p>
    <w:p w14:paraId="5ED90018">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、公告期限</w:t>
      </w:r>
    </w:p>
    <w:p w14:paraId="01CE4FF7">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自磋商文件公告发布之日起5个工作日</w:t>
      </w:r>
      <w:r>
        <w:rPr>
          <w:rFonts w:hint="eastAsia" w:ascii="宋体" w:hAnsi="宋体" w:eastAsia="宋体" w:cs="宋体"/>
          <w:color w:val="auto"/>
          <w:sz w:val="22"/>
          <w:szCs w:val="22"/>
          <w:highlight w:val="none"/>
        </w:rPr>
        <w:t>。</w:t>
      </w:r>
    </w:p>
    <w:p w14:paraId="462A1D3C">
      <w:pPr>
        <w:keepNext w:val="0"/>
        <w:keepLines w:val="0"/>
        <w:pageBreakBefore w:val="0"/>
        <w:widowControl w:val="0"/>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七、其他补充事宜</w:t>
      </w:r>
    </w:p>
    <w:p w14:paraId="049588CB">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磋商保证金：</w:t>
      </w:r>
      <w:bookmarkStart w:id="18" w:name="OLE_LINK42"/>
      <w:r>
        <w:rPr>
          <w:rFonts w:hint="eastAsia" w:ascii="宋体" w:hAnsi="宋体" w:eastAsia="宋体" w:cs="宋体"/>
          <w:color w:val="auto"/>
          <w:sz w:val="24"/>
          <w:szCs w:val="24"/>
          <w:highlight w:val="none"/>
        </w:rPr>
        <w:t>根据苏财购〔2020〕52号文件要求，为进一步降低供应商投标成本，取消政府采购磋商保证金</w:t>
      </w:r>
      <w:bookmarkEnd w:id="18"/>
      <w:r>
        <w:rPr>
          <w:rFonts w:hint="eastAsia" w:ascii="宋体" w:hAnsi="宋体" w:eastAsia="宋体" w:cs="宋体"/>
          <w:color w:val="auto"/>
          <w:sz w:val="24"/>
          <w:szCs w:val="24"/>
          <w:highlight w:val="none"/>
          <w:lang w:eastAsia="zh-CN"/>
        </w:rPr>
        <w:t>；</w:t>
      </w:r>
    </w:p>
    <w:p w14:paraId="18515CF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详见第二章“供应商须知”第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eastAsia="zh-CN"/>
        </w:rPr>
        <w:t>；</w:t>
      </w:r>
    </w:p>
    <w:p w14:paraId="5BEB9C0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http://www.ccgp</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jiangsu.gov.cn/jiangsu/zlxz/ee/ee3a4bc5a3454aa2b0d9312230633ce9.html。</w:t>
      </w:r>
      <w:r>
        <w:rPr>
          <w:rFonts w:hint="eastAsia" w:ascii="宋体" w:hAnsi="宋体" w:eastAsia="宋体" w:cs="宋体"/>
          <w:color w:val="auto"/>
          <w:sz w:val="24"/>
          <w:szCs w:val="24"/>
          <w:highlight w:val="none"/>
        </w:rPr>
        <w:fldChar w:fldCharType="end"/>
      </w:r>
    </w:p>
    <w:p w14:paraId="4D01E3B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有关本次磋商的事项若存在变动或修改，敬请及时关注江苏政府采购网或淮安市政府采购网发布的更正公告，否则产生的后果由供应商自行承担。</w:t>
      </w:r>
    </w:p>
    <w:p w14:paraId="2508B9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2"/>
        <w:rPr>
          <w:rFonts w:hint="eastAsia" w:ascii="宋体" w:hAnsi="宋体" w:eastAsia="宋体" w:cs="宋体"/>
          <w:b/>
          <w:color w:val="auto"/>
          <w:sz w:val="24"/>
          <w:szCs w:val="24"/>
          <w:highlight w:val="none"/>
          <w:lang w:val="en-US" w:eastAsia="zh-CN"/>
        </w:rPr>
      </w:pPr>
      <w:bookmarkStart w:id="19" w:name="OLE_LINK79"/>
      <w:bookmarkStart w:id="20" w:name="OLE_LINK39"/>
      <w:r>
        <w:rPr>
          <w:rFonts w:hint="eastAsia" w:ascii="宋体" w:hAnsi="宋体" w:eastAsia="宋体" w:cs="宋体"/>
          <w:b/>
          <w:bCs w:val="0"/>
          <w:color w:val="auto"/>
          <w:sz w:val="24"/>
          <w:szCs w:val="24"/>
          <w:highlight w:val="none"/>
          <w:lang w:val="en-US" w:eastAsia="zh-CN"/>
        </w:rPr>
        <w:t>八、凡对本次采购提出询问，请按以下方式联系</w:t>
      </w:r>
    </w:p>
    <w:p w14:paraId="4E66944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7CD6D2CC">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江苏盱眙经济开发区管理委员会</w:t>
      </w:r>
    </w:p>
    <w:p w14:paraId="6DEDDE0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w:t>
      </w:r>
      <w:r>
        <w:rPr>
          <w:rFonts w:hint="eastAsia" w:ascii="宋体" w:hAnsi="宋体" w:cs="宋体"/>
          <w:color w:val="auto"/>
          <w:sz w:val="24"/>
          <w:szCs w:val="24"/>
          <w:highlight w:val="none"/>
          <w:lang w:val="en-US" w:eastAsia="zh-CN"/>
        </w:rPr>
        <w:t>江苏盱眙经济开发区管理委员会</w:t>
      </w:r>
    </w:p>
    <w:p w14:paraId="2F21AA83">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 xml:space="preserve">蔡春 </w:t>
      </w:r>
    </w:p>
    <w:p w14:paraId="04028D74">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15298657177</w:t>
      </w:r>
    </w:p>
    <w:p w14:paraId="4AC162B4">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6A4D30E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单位名称：江苏骏通建设项目管理咨询有限公司</w:t>
      </w:r>
    </w:p>
    <w:p w14:paraId="604E19D8">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单位地址：淮安市盱眙县二山路一号四楼</w:t>
      </w:r>
    </w:p>
    <w:p w14:paraId="7D322172">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联系人：夏妍</w:t>
      </w:r>
    </w:p>
    <w:p w14:paraId="530377D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联系电话：18932307736</w:t>
      </w:r>
    </w:p>
    <w:p w14:paraId="3FFC1FCF">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310BD4B3">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项目联系人：夏妍 18932307736</w:t>
      </w:r>
    </w:p>
    <w:bookmarkEnd w:id="1"/>
    <w:bookmarkEnd w:id="19"/>
    <w:bookmarkEnd w:id="20"/>
    <w:p w14:paraId="437E4437">
      <w:pP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br w:type="page" w:clear="all"/>
      </w:r>
    </w:p>
    <w:p w14:paraId="3F9B6C9E">
      <w:pPr>
        <w:pageBreakBefore w:val="0"/>
        <w:spacing w:line="380" w:lineRule="exact"/>
        <w:jc w:val="cente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第二章  供应商须知</w:t>
      </w:r>
    </w:p>
    <w:p w14:paraId="2B878E84">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一、总则</w:t>
      </w:r>
    </w:p>
    <w:p w14:paraId="7B53868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1.适用范围</w:t>
      </w:r>
    </w:p>
    <w:p w14:paraId="103421C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本竞争性磋商文件仅适用于本次采购邀请中所述项目的采购。</w:t>
      </w:r>
    </w:p>
    <w:p w14:paraId="6CBC7C5C">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2.合格的供应商</w:t>
      </w:r>
    </w:p>
    <w:p w14:paraId="068B6FF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2.1满足第一章磋商邀请中供应商资格要求的规定。</w:t>
      </w:r>
    </w:p>
    <w:p w14:paraId="089C5317">
      <w:pPr>
        <w:keepNext w:val="0"/>
        <w:keepLines w:val="0"/>
        <w:pageBreakBefore w:val="0"/>
        <w:widowControl w:val="0"/>
        <w:spacing w:line="380" w:lineRule="exact"/>
        <w:ind w:firstLine="504"/>
        <w:jc w:val="lef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2.2</w:t>
      </w:r>
      <w:r>
        <w:rPr>
          <w:rFonts w:hint="eastAsia" w:ascii="宋体" w:hAnsi="宋体" w:eastAsia="宋体" w:cs="宋体"/>
          <w:color w:val="auto"/>
          <w:sz w:val="24"/>
          <w:szCs w:val="24"/>
          <w:highlight w:val="none"/>
        </w:rPr>
        <w:t>满足磋商文件中实质性条款的规定。</w:t>
      </w:r>
    </w:p>
    <w:p w14:paraId="148DAA5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3.适用法律</w:t>
      </w:r>
    </w:p>
    <w:p w14:paraId="3FDC484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《政府采购竞争性磋商采购方式管理暂行办法》等有关法律</w:t>
      </w:r>
      <w:r>
        <w:rPr>
          <w:rFonts w:hint="eastAsia" w:ascii="宋体" w:hAnsi="宋体" w:eastAsia="宋体" w:cs="宋体"/>
          <w:color w:val="auto"/>
          <w:sz w:val="24"/>
          <w:szCs w:val="24"/>
          <w:highlight w:val="none"/>
          <w:lang w:eastAsia="zh-CN"/>
        </w:rPr>
        <w:t>、法规</w:t>
      </w:r>
      <w:r>
        <w:rPr>
          <w:rFonts w:hint="eastAsia" w:ascii="宋体" w:hAnsi="宋体" w:eastAsia="宋体" w:cs="宋体"/>
          <w:color w:val="auto"/>
          <w:sz w:val="24"/>
          <w:szCs w:val="24"/>
          <w:highlight w:val="none"/>
        </w:rPr>
        <w:t>和规定等。</w:t>
      </w:r>
    </w:p>
    <w:p w14:paraId="6E1FA780">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4.磋商费用</w:t>
      </w:r>
    </w:p>
    <w:p w14:paraId="1C4FFFD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4.1供应商应自行承担所有与参加磋商有关的费用。不论磋商的结果如何，采购人（代理机构）在任何情况下均无义务和责任承担这些费用。</w:t>
      </w:r>
    </w:p>
    <w:p w14:paraId="61A06A5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本次项目不收取文件工本费</w:t>
      </w:r>
      <w:r>
        <w:rPr>
          <w:rFonts w:hint="eastAsia" w:ascii="宋体" w:hAnsi="宋体" w:eastAsia="宋体" w:cs="宋体"/>
          <w:color w:val="auto"/>
          <w:sz w:val="24"/>
          <w:szCs w:val="24"/>
          <w:highlight w:val="none"/>
          <w:lang w:val="en-US" w:eastAsia="zh-CN"/>
        </w:rPr>
        <w:t>和成交管理费</w:t>
      </w:r>
      <w:r>
        <w:rPr>
          <w:rFonts w:hint="eastAsia" w:ascii="宋体" w:hAnsi="宋体" w:eastAsia="宋体" w:cs="宋体"/>
          <w:color w:val="auto"/>
          <w:sz w:val="24"/>
          <w:szCs w:val="24"/>
          <w:highlight w:val="none"/>
        </w:rPr>
        <w:t>。</w:t>
      </w:r>
    </w:p>
    <w:p w14:paraId="5C5615AB">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二、磋商文件</w:t>
      </w:r>
    </w:p>
    <w:p w14:paraId="4787825B">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5.磋商文件由以下部分组成：</w:t>
      </w:r>
    </w:p>
    <w:p w14:paraId="28FBCBD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5.1磋商邀请</w:t>
      </w:r>
    </w:p>
    <w:p w14:paraId="217649E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5.2供应商须知</w:t>
      </w:r>
    </w:p>
    <w:p w14:paraId="5340D5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5.3评标标准</w:t>
      </w:r>
    </w:p>
    <w:p w14:paraId="0377ADF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5.4合同格式及条款</w:t>
      </w:r>
    </w:p>
    <w:p w14:paraId="47E7E90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5.5项目采购需求</w:t>
      </w:r>
    </w:p>
    <w:p w14:paraId="4363520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5.6响应文件格式</w:t>
      </w:r>
    </w:p>
    <w:p w14:paraId="16968671">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6.磋商文件的澄清</w:t>
      </w:r>
    </w:p>
    <w:p w14:paraId="633A801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6.1任何要求对磋商文件进行澄清的供应商，均应在磋商截止时间五日前按</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p>
    <w:p w14:paraId="22096E0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7.磋商文件的更正或补充</w:t>
      </w:r>
    </w:p>
    <w:p w14:paraId="1FBB0F0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7.1在磋商时间前，采购人（代理机构）可主动或在解答供应商提出的澄清问题时对磋商文件用更正公告的方式进行修正。</w:t>
      </w:r>
    </w:p>
    <w:p w14:paraId="4DE657E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7.2对磋商文件的修改将在</w:t>
      </w:r>
      <w:r>
        <w:rPr>
          <w:rFonts w:hint="eastAsia" w:ascii="宋体" w:hAnsi="宋体" w:eastAsia="宋体" w:cs="宋体"/>
          <w:color w:val="auto"/>
          <w:sz w:val="24"/>
          <w:szCs w:val="24"/>
          <w:highlight w:val="none"/>
          <w:lang w:eastAsia="zh-CN"/>
        </w:rPr>
        <w:t>江苏省政府采购网、淮安市政府采购网</w:t>
      </w:r>
      <w:r>
        <w:rPr>
          <w:rFonts w:hint="eastAsia" w:ascii="宋体" w:hAnsi="宋体" w:eastAsia="宋体" w:cs="宋体"/>
          <w:color w:val="auto"/>
          <w:sz w:val="24"/>
          <w:szCs w:val="24"/>
          <w:highlight w:val="none"/>
        </w:rPr>
        <w:t>进行公告，同时通过电子交易平台通知所有已获取磋商文件的供应商。更正公告将作为磋商文件的组成部分，对所有参加本次磋商的供应商都具有约束力。</w:t>
      </w:r>
    </w:p>
    <w:p w14:paraId="729E044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7.3供应商须持续关注本项目在淮安市政府采购网及电子化系统中发布的信息（含更正、修改等信息），否则产生的后果由供应商自行承担。</w:t>
      </w:r>
    </w:p>
    <w:p w14:paraId="62D2302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7.4为使供应商有足够的时间按磋商文件的更正要求修正响应文件，采购人（代理机构）有权按照相关法定的要求推迟响应文件接收截止时间和磋商时间。</w:t>
      </w:r>
    </w:p>
    <w:p w14:paraId="343CB518">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三、响应文件的编制</w:t>
      </w:r>
    </w:p>
    <w:p w14:paraId="1BB4A142">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8.响应文件的构成</w:t>
      </w:r>
    </w:p>
    <w:p w14:paraId="4430ECB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8.1磋商供应商编写的响应文件应按磋商文件第六章“响应文件格式”中的要求进行编写。</w:t>
      </w:r>
    </w:p>
    <w:p w14:paraId="613A949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8.2供应商编写的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文件应包括资格证明文件、符合性证明文件、投标分项报价表、技术要求响应及偏离表、商务要求响应及偏离表、其他证明文件、投标函、开标一览表等部分。</w:t>
      </w:r>
    </w:p>
    <w:p w14:paraId="2CA33D8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8.3如标书制作工具中格式和内容与“淮安市政府采购网”发布的</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文件不一致，请以“淮安市政府采购网”发布的</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文件为准。</w:t>
      </w:r>
    </w:p>
    <w:p w14:paraId="57A808A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9.磋商报价</w:t>
      </w:r>
    </w:p>
    <w:p w14:paraId="0EFB612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全费用报价</w:t>
      </w:r>
      <w:r>
        <w:rPr>
          <w:rFonts w:hint="eastAsia" w:ascii="宋体" w:hAnsi="宋体" w:eastAsia="宋体" w:cs="宋体"/>
          <w:color w:val="auto"/>
          <w:sz w:val="24"/>
          <w:szCs w:val="24"/>
          <w:highlight w:val="none"/>
        </w:rPr>
        <w:t>，供应商的报价应包含</w:t>
      </w:r>
      <w:r>
        <w:rPr>
          <w:rFonts w:hint="eastAsia" w:ascii="宋体" w:hAnsi="宋体" w:eastAsia="宋体" w:cs="宋体"/>
          <w:color w:val="auto"/>
          <w:sz w:val="24"/>
          <w:szCs w:val="24"/>
          <w:highlight w:val="none"/>
          <w:lang w:val="en-US" w:eastAsia="zh-CN"/>
        </w:rPr>
        <w:t>所有服务费</w:t>
      </w:r>
      <w:r>
        <w:rPr>
          <w:rFonts w:hint="eastAsia" w:ascii="宋体" w:hAnsi="宋体" w:eastAsia="宋体" w:cs="宋体"/>
          <w:color w:val="auto"/>
          <w:sz w:val="24"/>
          <w:szCs w:val="24"/>
          <w:highlight w:val="none"/>
        </w:rPr>
        <w:t>、人工、材料、机械设备、管理费、利润、运输、脚手费、二次搬运、质保期所有费用、安全生产费、税金以及各项措施项目费、风险和政策性文件规定的各项应有费用，以及与</w:t>
      </w:r>
      <w:r>
        <w:rPr>
          <w:rFonts w:hint="eastAsia"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rPr>
        <w:t>项目有关的所有费用（组成详见采购需求），如有疑问应在本文件规定时间内提出，供应商被确定为成交候选人后，合同价格不作调整（合同另有约定及不可抗力除外）。</w:t>
      </w:r>
    </w:p>
    <w:p w14:paraId="2F510E5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9.2供应商的任何错漏、优惠、竞争性报价不得作为减轻责任、减少服务、增加收费、降低质量的理由。</w:t>
      </w:r>
    </w:p>
    <w:p w14:paraId="6FED297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9.3采购人（代理机构）不接受备选的方案或有选择的报价。</w:t>
      </w:r>
    </w:p>
    <w:p w14:paraId="3F0AC78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9.4磋商报价应以人民币为货币单位。</w:t>
      </w:r>
    </w:p>
    <w:p w14:paraId="7E48ADC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eastAsia="zh-CN"/>
        </w:rPr>
      </w:pPr>
      <w:bookmarkStart w:id="21" w:name="_Toc4104"/>
      <w:r>
        <w:rPr>
          <w:rFonts w:hint="eastAsia" w:ascii="宋体" w:hAnsi="宋体" w:eastAsia="宋体" w:cs="宋体"/>
          <w:bCs/>
          <w:color w:val="auto"/>
          <w:sz w:val="24"/>
          <w:szCs w:val="24"/>
          <w:highlight w:val="none"/>
        </w:rPr>
        <w:t>10.技术要求响应偏离</w:t>
      </w:r>
      <w:bookmarkEnd w:id="21"/>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如有</w:t>
      </w:r>
      <w:r>
        <w:rPr>
          <w:rFonts w:hint="eastAsia" w:ascii="宋体" w:hAnsi="宋体" w:eastAsia="宋体" w:cs="宋体"/>
          <w:bCs/>
          <w:color w:val="auto"/>
          <w:sz w:val="24"/>
          <w:szCs w:val="24"/>
          <w:highlight w:val="none"/>
          <w:lang w:eastAsia="zh-CN"/>
        </w:rPr>
        <w:t>）</w:t>
      </w:r>
    </w:p>
    <w:p w14:paraId="55C3803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10.1供应商应对磋商文件中的技术要求逐项作出响应或偏离，否则将被拒绝。</w:t>
      </w:r>
    </w:p>
    <w:p w14:paraId="3AC5D31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11.服务承诺</w:t>
      </w:r>
    </w:p>
    <w:p w14:paraId="7D43BAF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11.1供应商的服务承诺应按不低于磋商文件中服务要求的标准。</w:t>
      </w:r>
    </w:p>
    <w:p w14:paraId="44F00C2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12.证明供应商资格的文件</w:t>
      </w:r>
    </w:p>
    <w:p w14:paraId="1574161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12.1供应商应按要求提交资格证明文件及符合磋商文件规定的文件。</w:t>
      </w:r>
    </w:p>
    <w:p w14:paraId="402B989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12.2供应商除必须具有履行合同所需提供的货物和服务的能力外，还必须具备相应的财务、技术方面的能力。</w:t>
      </w:r>
    </w:p>
    <w:p w14:paraId="535AC4C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13.磋商保证金</w:t>
      </w:r>
    </w:p>
    <w:p w14:paraId="7E82DCD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本项目无需缴纳磋商保证金。</w:t>
      </w:r>
    </w:p>
    <w:p w14:paraId="48FDE144">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14.磋商有效期</w:t>
      </w:r>
    </w:p>
    <w:p w14:paraId="63DD163C">
      <w:pPr>
        <w:keepNext w:val="0"/>
        <w:keepLines w:val="0"/>
        <w:pageBreakBefore w:val="0"/>
        <w:widowControl w:val="0"/>
        <w:spacing w:line="38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14.1磋商有效期为从磋商之日起计算的</w:t>
      </w:r>
      <w:r>
        <w:rPr>
          <w:rFonts w:hint="eastAsia" w:ascii="宋体" w:hAnsi="宋体" w:eastAsia="宋体" w:cs="宋体"/>
          <w:color w:val="auto"/>
          <w:sz w:val="24"/>
          <w:szCs w:val="24"/>
          <w:highlight w:val="none"/>
          <w:lang w:val="en-US" w:eastAsia="zh-CN"/>
        </w:rPr>
        <w:t>九十日历</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磋商有效期比规定短的将被视为</w:t>
      </w:r>
      <w:r>
        <w:rPr>
          <w:rFonts w:hint="eastAsia" w:ascii="宋体" w:hAnsi="宋体" w:eastAsia="宋体" w:cs="宋体"/>
          <w:color w:val="auto"/>
          <w:sz w:val="24"/>
          <w:szCs w:val="24"/>
          <w:highlight w:val="none"/>
          <w:lang w:val="zh-CN"/>
        </w:rPr>
        <w:t>非响应磋商而予以拒绝。</w:t>
      </w:r>
    </w:p>
    <w:p w14:paraId="3C3D2A9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rPr>
        <w:t>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5E3326A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15.响应文件的签署</w:t>
      </w:r>
    </w:p>
    <w:p w14:paraId="258A617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15.1响应文件仅需要在供应商进行签章的位置应进行电子签章。电子响应文件不得涂改、行间插字或删除，如果出现上述情况应重新编制。</w:t>
      </w:r>
    </w:p>
    <w:p w14:paraId="5882E05B">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四、响应文件的递交</w:t>
      </w:r>
    </w:p>
    <w:p w14:paraId="3D41C3B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16.响应文件的递交及接收截止时间</w:t>
      </w:r>
    </w:p>
    <w:p w14:paraId="65D39DAF">
      <w:pPr>
        <w:pStyle w:val="26"/>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16.1供应商应当按照《操作手册》规定，在投标截止时间前制作并上传电子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文件。供应商应</w:t>
      </w:r>
      <w:r>
        <w:rPr>
          <w:rFonts w:hint="eastAsia" w:ascii="宋体" w:hAnsi="宋体" w:eastAsia="宋体" w:cs="宋体"/>
          <w:color w:val="auto"/>
          <w:sz w:val="24"/>
          <w:szCs w:val="24"/>
          <w:highlight w:val="none"/>
          <w:lang w:eastAsia="zh-CN"/>
        </w:rPr>
        <w:t>充分考虑</w:t>
      </w:r>
      <w:r>
        <w:rPr>
          <w:rFonts w:hint="eastAsia" w:ascii="宋体" w:hAnsi="宋体" w:eastAsia="宋体" w:cs="宋体"/>
          <w:color w:val="auto"/>
          <w:sz w:val="24"/>
          <w:szCs w:val="24"/>
          <w:highlight w:val="none"/>
        </w:rPr>
        <w:t>网络环境、网络带宽等风险因素，如因供应商自身原因造成的电子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文件上传不成功的按照无效投标处理。</w:t>
      </w:r>
    </w:p>
    <w:p w14:paraId="46411A8D">
      <w:pPr>
        <w:pStyle w:val="26"/>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责任由</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zh-CN"/>
        </w:rPr>
        <w:t>自负。</w:t>
      </w:r>
    </w:p>
    <w:p w14:paraId="0813094A">
      <w:pPr>
        <w:pStyle w:val="26"/>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16.3供应商上传电子响应文件的时间不得迟于磋商邀请中规定的截止时间。</w:t>
      </w:r>
    </w:p>
    <w:p w14:paraId="6E922DAF">
      <w:pPr>
        <w:pStyle w:val="26"/>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16.4采购人（代理机构）可以按第7条规定，通过修改磋商文件有权酌情延长响应文件接收截止时间。在此情况下，供应商的所有权利和义务以及供应商受制约的截止日期均应以延长后新的截止日期为准。</w:t>
      </w:r>
    </w:p>
    <w:p w14:paraId="2D77CE5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17.响应文件被拒绝接收的情形</w:t>
      </w:r>
    </w:p>
    <w:p w14:paraId="1D9DB279">
      <w:pPr>
        <w:pStyle w:val="26"/>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17.1在磋商文件规定的提交响应文件截止时间后上传的电子响应文件。</w:t>
      </w:r>
    </w:p>
    <w:p w14:paraId="4A909A64">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18.响应文件的修改和撤回</w:t>
      </w:r>
    </w:p>
    <w:p w14:paraId="519FC7A2">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18.1磋商供应商在提交响应文件后，可以修改或撤回其响应文件，但这种修改和撤回，必须在规定的磋商开始时间前。具体操作方法见《操作手册》。</w:t>
      </w:r>
    </w:p>
    <w:p w14:paraId="1A3DADD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18.2供应商可在投标截止时间前，对其电子投标文件进行修改，具体操作方法见《操作手册》。在投标截止时间至招标文件中规定的投标有效期满之间的这段时间内，供应商不得撤回其投标。</w:t>
      </w:r>
    </w:p>
    <w:p w14:paraId="38317AC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18.3供应商不得在投标截止时间以后修改响应文件。</w:t>
      </w:r>
    </w:p>
    <w:p w14:paraId="0AAFF033">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五、磋商与评审</w:t>
      </w:r>
    </w:p>
    <w:p w14:paraId="36AF7F21">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19.磋商组织</w:t>
      </w:r>
    </w:p>
    <w:p w14:paraId="4D151CE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.3的要求组织本项目的“不见面交易”活动。供应商仅需在任意地点登录“苏采云”系统，进入江苏省政府采购一体化不见面开标（采购）大厅观看项目的活动组织。</w:t>
      </w:r>
    </w:p>
    <w:p w14:paraId="72A9E32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 不见面磋商程序</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主持人按下列程序组织磋商。</w:t>
      </w:r>
    </w:p>
    <w:p w14:paraId="5D914A63">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.2.1 代理机构将在采购公告中规定的时间和地点组织磋商开始仪式。供应商应当按照《操作手册》规定，参加磋商活动。</w:t>
      </w:r>
    </w:p>
    <w:p w14:paraId="16667C0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.2.2供应商在磋商过程中涉及到的响应文件解密等工作，应按照《操作手册》规定执行。</w:t>
      </w:r>
    </w:p>
    <w:p w14:paraId="65FCBDD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.2.3报价一览表内容与报价明细表内容不一致的，一律以报价一览表内容为准。</w:t>
      </w:r>
    </w:p>
    <w:p w14:paraId="1943F61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.2.4响应文件提交截止时间结束后参加征集的供应商不足三家情况的，除采购任务取消情形外，按财政部令第74号第二十七条条款进行处理。</w:t>
      </w:r>
    </w:p>
    <w:p w14:paraId="34566B44">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.3全流程电子化交易采购说明</w:t>
      </w:r>
    </w:p>
    <w:p w14:paraId="7F7D0FDC">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.3.1由于“苏采云政府采购一体化平台”自身原因导致项目不能正常进行的，项目作废标处理。</w:t>
      </w:r>
    </w:p>
    <w:p w14:paraId="491D113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.3.2本项目中的时间均以国家授时中心发布的时间为准。</w:t>
      </w:r>
    </w:p>
    <w:p w14:paraId="2D743E5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.3.3本项目下载磋商文件、上传响应文件均通过互联网操作，请供应商充分考虑网络拥堵及平台操作所需时间等因素。因供应商自身原因导致操作失败的，其责任自负。</w:t>
      </w:r>
    </w:p>
    <w:p w14:paraId="5CF91F90">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690FAFF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p>
    <w:p w14:paraId="7BF7027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p>
    <w:p w14:paraId="0881962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不再要求</w:t>
      </w:r>
      <w:r>
        <w:rPr>
          <w:rFonts w:hint="eastAsia" w:ascii="宋体" w:hAnsi="宋体" w:eastAsia="宋体" w:cs="宋体"/>
          <w:bCs/>
          <w:color w:val="auto"/>
          <w:sz w:val="24"/>
          <w:szCs w:val="24"/>
          <w:highlight w:val="none"/>
        </w:rPr>
        <w:t>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解密成功，即视为“苏采云政府采购一体化平台”运行无故障。</w:t>
      </w:r>
    </w:p>
    <w:p w14:paraId="6A58FF33">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244C612">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w:t>
      </w:r>
    </w:p>
    <w:p w14:paraId="2FDF100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.3.9.1软件设施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p>
    <w:p w14:paraId="6FAC1C6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.3.9.2硬件设施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高配置电脑（内存4G以上，建议屏幕分辨率用1024*768像素或以上，不要使用上网本）、高速稳定的网络、CA锁、音视频设备［话筒、耳麦、高清摄像头（支持分辨率720P及以上）、音响］等。</w:t>
      </w:r>
    </w:p>
    <w:p w14:paraId="169785B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21CAD0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0517-83638013。</w:t>
      </w:r>
    </w:p>
    <w:p w14:paraId="65CB7C73">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lang w:val="zh-CN"/>
        </w:rPr>
        <w:t>磋商工作由</w:t>
      </w:r>
      <w:r>
        <w:rPr>
          <w:rFonts w:hint="eastAsia" w:ascii="宋体" w:hAnsi="宋体" w:eastAsia="宋体" w:cs="宋体"/>
          <w:color w:val="auto"/>
          <w:sz w:val="24"/>
          <w:szCs w:val="24"/>
          <w:highlight w:val="none"/>
        </w:rPr>
        <w:t>采购人（代理机构）</w:t>
      </w:r>
      <w:r>
        <w:rPr>
          <w:rFonts w:hint="eastAsia" w:ascii="宋体" w:hAnsi="宋体" w:eastAsia="宋体" w:cs="宋体"/>
          <w:color w:val="auto"/>
          <w:sz w:val="24"/>
          <w:szCs w:val="24"/>
          <w:highlight w:val="none"/>
          <w:lang w:val="zh-CN"/>
        </w:rPr>
        <w:t>负责组织，具体磋商事务由依法组建的磋商小组负责。</w:t>
      </w:r>
    </w:p>
    <w:p w14:paraId="71E5333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.1磋商小组由采购人代表和评审专家共3人以上单数组成。</w:t>
      </w:r>
    </w:p>
    <w:p w14:paraId="6F6AA14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.2磋商小组应以科学、公正的态度参加评审工作并推荐成交候选人。磋商小组在评审过程中不受任何干扰，独立、负责地提出评审意见，并对自己的评审意见承担责任。</w:t>
      </w:r>
    </w:p>
    <w:p w14:paraId="3678088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磋商小组应对供应商的商业、技术秘密予以保密。</w:t>
      </w:r>
    </w:p>
    <w:p w14:paraId="209F9FC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20.磋商程序</w:t>
      </w:r>
    </w:p>
    <w:p w14:paraId="79C64F5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20.1响应文件的资格审查</w:t>
      </w:r>
    </w:p>
    <w:p w14:paraId="6C1CB0C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20.1.1磋商小组依法对供应商的资格进行审查。</w:t>
      </w:r>
    </w:p>
    <w:p w14:paraId="0CA2594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.1.1.1资格性审查：依据法律法规和磋商文件的规定，对响应文件中的资格证明文件等进行审查，以确定供应商是否具备磋商资格。</w:t>
      </w:r>
    </w:p>
    <w:p w14:paraId="368D8986">
      <w:pPr>
        <w:keepNext w:val="0"/>
        <w:keepLines w:val="0"/>
        <w:pageBreakBefore w:val="0"/>
        <w:widowControl w:val="0"/>
        <w:spacing w:line="380" w:lineRule="exact"/>
        <w:ind w:firstLine="480"/>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30"/>
          <w:rFonts w:hint="eastAsia" w:ascii="宋体" w:hAnsi="宋体" w:eastAsia="宋体" w:cs="宋体"/>
          <w:color w:val="auto"/>
          <w:sz w:val="24"/>
          <w:szCs w:val="24"/>
          <w:highlight w:val="none"/>
          <w:lang w:val="zh-CN"/>
        </w:rPr>
        <w:t>www.creditchina.gov.cn</w:t>
      </w:r>
      <w:r>
        <w:rPr>
          <w:rStyle w:val="30"/>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30"/>
          <w:rFonts w:hint="eastAsia" w:ascii="宋体" w:hAnsi="宋体" w:eastAsia="宋体" w:cs="宋体"/>
          <w:color w:val="auto"/>
          <w:sz w:val="24"/>
          <w:szCs w:val="24"/>
          <w:highlight w:val="none"/>
          <w:lang w:val="zh-CN"/>
        </w:rPr>
        <w:t>www.ccgp.gov.cn</w:t>
      </w:r>
      <w:r>
        <w:rPr>
          <w:rStyle w:val="30"/>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）对供应商是否被列入失信被执行人、重大税收违法案件当事人名单、政府采购严重违法失信行为记录名单的情况进行查询，以确定供应商是否具备磋商资格。</w:t>
      </w:r>
    </w:p>
    <w:p w14:paraId="325DB07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.1.1.3响应文件有下列情况之一的，在资格性审查时按照无效响应文件处理：</w:t>
      </w:r>
    </w:p>
    <w:p w14:paraId="4241749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（1）不具备磋商文件中规定的资格要求的；</w:t>
      </w:r>
    </w:p>
    <w:p w14:paraId="416A9EE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（2）供应商被 “信用中国”网站（www.creditchina.gov.cn）“中国政府采购网”网站（www.ccgp.gov.cn）等渠道列入失信被执行人或重大税收违法案件当事人名单或政府采购严重失信行为记录名单。</w:t>
      </w:r>
    </w:p>
    <w:p w14:paraId="04DE663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20.2响应文件的符合性审查</w:t>
      </w:r>
    </w:p>
    <w:p w14:paraId="6708D80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20.2.1磋商小组对响应文件的有效性、完整性和对磋商文件的响应程度进行审查，</w:t>
      </w:r>
      <w:r>
        <w:rPr>
          <w:rFonts w:hint="eastAsia" w:ascii="宋体" w:hAnsi="宋体" w:eastAsia="宋体" w:cs="宋体"/>
          <w:color w:val="auto"/>
          <w:sz w:val="24"/>
          <w:szCs w:val="24"/>
          <w:highlight w:val="none"/>
          <w:lang w:val="zh-CN"/>
        </w:rPr>
        <w:t>以确定是否对磋商文件的实质性要求作出响应。</w:t>
      </w:r>
    </w:p>
    <w:p w14:paraId="32B31B6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6AF9F8A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20.2.3如果响应文件没有实质上响应磋商文件的要求，磋商小组将予以拒绝。</w:t>
      </w:r>
    </w:p>
    <w:p w14:paraId="4DBA989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20.2.4磋商小组</w:t>
      </w:r>
      <w:r>
        <w:rPr>
          <w:rFonts w:hint="eastAsia" w:ascii="宋体" w:hAnsi="宋体" w:eastAsia="宋体" w:cs="宋体"/>
          <w:bCs/>
          <w:color w:val="auto"/>
          <w:sz w:val="24"/>
          <w:szCs w:val="24"/>
          <w:highlight w:val="none"/>
        </w:rPr>
        <w:t>将对确定为实质性响应的响应文件进行进一步</w:t>
      </w:r>
      <w:r>
        <w:rPr>
          <w:rFonts w:hint="eastAsia" w:ascii="宋体" w:hAnsi="宋体" w:eastAsia="宋体" w:cs="宋体"/>
          <w:color w:val="auto"/>
          <w:sz w:val="24"/>
          <w:szCs w:val="24"/>
          <w:highlight w:val="none"/>
        </w:rPr>
        <w:t>初审，</w:t>
      </w:r>
      <w:r>
        <w:rPr>
          <w:rFonts w:hint="eastAsia" w:ascii="宋体" w:hAnsi="宋体" w:eastAsia="宋体" w:cs="宋体"/>
          <w:bCs/>
          <w:color w:val="auto"/>
          <w:sz w:val="24"/>
          <w:szCs w:val="24"/>
          <w:highlight w:val="none"/>
        </w:rPr>
        <w:t>看其是否有计算上或累加上的算术错误，</w:t>
      </w:r>
      <w:r>
        <w:rPr>
          <w:rFonts w:hint="eastAsia" w:ascii="宋体" w:hAnsi="宋体" w:eastAsia="宋体" w:cs="宋体"/>
          <w:color w:val="auto"/>
          <w:sz w:val="24"/>
          <w:szCs w:val="24"/>
          <w:highlight w:val="none"/>
        </w:rPr>
        <w:t>修正原则如下：</w:t>
      </w:r>
    </w:p>
    <w:p w14:paraId="2250239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667DC8C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65C86FAB">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2650A53B">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0E8014C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0BACC0E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磋商小组将按上述修正错误的方法调整响应文件中的磋商报价，调整后的价格应对供应商具有约束力。如果供应商不同意修正的，其响应文件无效。</w:t>
      </w:r>
    </w:p>
    <w:p w14:paraId="16ED617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响应文件的澄清</w:t>
      </w:r>
    </w:p>
    <w:p w14:paraId="429C731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6A7E7E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395C39D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B4CDF1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.3接到磋商小组澄清、说明和更正要求的供应商如未按规定作出澄清、说明和更正，其风险由供应商自行承担。</w:t>
      </w:r>
    </w:p>
    <w:p w14:paraId="658FBCF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未通过资格审查或符合性审查的供应商，磋商小组将在苏采云系统中告知未通过资格审查或符合性审查的原因，评审结束后，磋商小组将不再告知未通过资格审查或符合性审查的原因。</w:t>
      </w:r>
    </w:p>
    <w:p w14:paraId="4E4AF2A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629958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磋商中，磋商的任何一方不得透露与磋商有关的其他参加供应商的技术资料、价格和其他信息。如果参加磋商供应商试图向采购人（代理机构）和磋商小组人员施加任何影响，都将会导致其磋商被拒绝。</w:t>
      </w:r>
    </w:p>
    <w:p w14:paraId="19B3E75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CB0E2A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但不得变动磋商文件中的其他内容。实质性变动的内容，须经采购人代表确认</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A7F0F0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662813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5F1AA1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0DE9BD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磋商结束后，磋商小组将要求所有继续参加磋商的供应商凭CA锁</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lang w:val="en-US" w:eastAsia="zh-CN"/>
        </w:rPr>
        <w:t>苏彩云</w:t>
      </w:r>
      <w:r>
        <w:rPr>
          <w:rFonts w:hint="eastAsia" w:ascii="宋体" w:hAnsi="宋体" w:eastAsia="宋体" w:cs="宋体"/>
          <w:bCs/>
          <w:color w:val="auto"/>
          <w:sz w:val="24"/>
          <w:szCs w:val="24"/>
          <w:highlight w:val="none"/>
        </w:rPr>
        <w:t>平台在规定的时间内进行两次或两次以上的磋商报价（最终报价将作为评审的依据）</w:t>
      </w:r>
    </w:p>
    <w:p w14:paraId="315FDD9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0DD521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bookmarkStart w:id="22" w:name="OLE_LINK13"/>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 评审方法和评审标准</w:t>
      </w:r>
    </w:p>
    <w:p w14:paraId="6F5148A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.1评审方法。经磋商确定最终采购需求和提交最后报价的供应商后，由磋商小组采用综合评分法对提交最后报价的供应商的响应文件和最后报价进行综合评分。</w:t>
      </w:r>
    </w:p>
    <w:p w14:paraId="15611B1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85B86F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bookmarkStart w:id="23" w:name="OLE_LINK14"/>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w:t>
      </w:r>
      <w:bookmarkEnd w:id="23"/>
      <w:r>
        <w:rPr>
          <w:rFonts w:hint="eastAsia" w:ascii="宋体" w:hAnsi="宋体" w:eastAsia="宋体" w:cs="宋体"/>
          <w:bCs/>
          <w:color w:val="auto"/>
          <w:sz w:val="24"/>
          <w:szCs w:val="24"/>
          <w:highlight w:val="none"/>
        </w:rPr>
        <w:t>2评审标准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见本磋商文件第三章规定。</w:t>
      </w:r>
      <w:bookmarkEnd w:id="22"/>
    </w:p>
    <w:p w14:paraId="006BB3D8">
      <w:pPr>
        <w:keepNext w:val="0"/>
        <w:keepLines w:val="0"/>
        <w:pageBreakBefore w:val="0"/>
        <w:widowControl w:val="0"/>
        <w:spacing w:line="380" w:lineRule="exact"/>
        <w:ind w:firstLine="480"/>
        <w:jc w:val="left"/>
        <w:rPr>
          <w:rFonts w:hint="eastAsia" w:ascii="宋体" w:hAnsi="宋体" w:eastAsia="宋体" w:cs="宋体"/>
          <w:b/>
          <w:bCs w:val="0"/>
          <w:color w:val="auto"/>
          <w:sz w:val="24"/>
          <w:szCs w:val="24"/>
          <w:highlight w:val="none"/>
        </w:rPr>
      </w:pPr>
      <w:bookmarkStart w:id="24" w:name="OLE_LINK57"/>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.出现下列情形之一的，响应文件按照无效处理：</w:t>
      </w:r>
      <w:bookmarkEnd w:id="24"/>
    </w:p>
    <w:p w14:paraId="1C8EE3E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供应商在苏采云系统规定的时间内未成功解密电子响应文件的。</w:t>
      </w:r>
    </w:p>
    <w:p w14:paraId="0BF784A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供应商未按照磋商文件要求上传电子响应文件的。</w:t>
      </w:r>
    </w:p>
    <w:p w14:paraId="76AAB86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同一供应商提交两个（含两个）以上不同的响应文件或者最后报价的。</w:t>
      </w:r>
    </w:p>
    <w:p w14:paraId="4929CB4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w:t>
      </w:r>
      <w:r>
        <w:rPr>
          <w:rFonts w:hint="eastAsia" w:ascii="宋体" w:hAnsi="宋体" w:eastAsia="宋体" w:cs="宋体"/>
          <w:bCs/>
          <w:color w:val="auto"/>
          <w:sz w:val="24"/>
          <w:szCs w:val="24"/>
          <w:highlight w:val="none"/>
        </w:rPr>
        <w:t>供应商不具备磋商文件中规定资格要求的。</w:t>
      </w:r>
    </w:p>
    <w:p w14:paraId="493EA98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rPr>
        <w:t>供应商的最后报价超过了采购预算。</w:t>
      </w:r>
    </w:p>
    <w:p w14:paraId="08D1B21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相应</w:t>
      </w:r>
      <w:r>
        <w:rPr>
          <w:rFonts w:hint="eastAsia" w:ascii="宋体" w:hAnsi="宋体" w:eastAsia="宋体" w:cs="宋体"/>
          <w:color w:val="auto"/>
          <w:sz w:val="24"/>
          <w:szCs w:val="24"/>
          <w:highlight w:val="none"/>
        </w:rPr>
        <w:t>文件含有采购人不能接受的附加条件的；</w:t>
      </w:r>
    </w:p>
    <w:p w14:paraId="1062CC7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及本采购文件规定的属无效投标的情形。</w:t>
      </w:r>
    </w:p>
    <w:p w14:paraId="37AD2D1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.8经查实提供虚假材料谋取成交的；</w:t>
      </w:r>
    </w:p>
    <w:p w14:paraId="3722EDE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.9响应文件未按照磋商文件要求加盖CA电子公章的。</w:t>
      </w:r>
    </w:p>
    <w:p w14:paraId="1496218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.10未实质性响应磋商文件的响应文件按无效响应处理。</w:t>
      </w:r>
    </w:p>
    <w:p w14:paraId="3F1D8EAB">
      <w:pPr>
        <w:pStyle w:val="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22.11评标委员会认为投标人的报价属于《江苏省财政厅转发财政部关于推动解决政府采购异常低价问题的通知》(苏财购[2026]36号)异常低价情形的，将通过苏采云系统，按照苏财购[2026]36号文件要求启动异常低价投标审查程序，要求其在合理的时间内提供说明，必要时提交相关证明材料;投标人不能证明其报价合理性的，评标委员会应当将其作为无效投标处理。</w:t>
      </w:r>
    </w:p>
    <w:p w14:paraId="68B58F5C">
      <w:pPr>
        <w:keepNext w:val="0"/>
        <w:keepLines w:val="0"/>
        <w:pageBreakBefore w:val="0"/>
        <w:widowControl w:val="0"/>
        <w:spacing w:line="380" w:lineRule="exact"/>
        <w:ind w:firstLine="48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.出现下列情形之一的，磋商终止：</w:t>
      </w:r>
    </w:p>
    <w:p w14:paraId="286304E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.1因情况变化，不再符合规定的竞争性磋商采购方式适用情形的；</w:t>
      </w:r>
    </w:p>
    <w:p w14:paraId="2FA8EF1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.2出现影响采购公正的违法、违规行为的；</w:t>
      </w:r>
    </w:p>
    <w:p w14:paraId="1828453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.3除《政府采购竞争性磋商采购方式管理暂行办法》财库</w:t>
      </w:r>
      <w:r>
        <w:rPr>
          <w:rFonts w:hint="eastAsia" w:ascii="宋体" w:hAnsi="宋体" w:eastAsia="宋体" w:cs="宋体"/>
          <w:color w:val="auto"/>
          <w:sz w:val="24"/>
          <w:szCs w:val="24"/>
          <w:highlight w:val="none"/>
          <w:lang w:eastAsia="zh-CN"/>
        </w:rPr>
        <w:t>〔2014〕214号</w:t>
      </w:r>
      <w:r>
        <w:rPr>
          <w:rFonts w:hint="eastAsia" w:ascii="宋体" w:hAnsi="宋体" w:eastAsia="宋体" w:cs="宋体"/>
          <w:color w:val="auto"/>
          <w:sz w:val="24"/>
          <w:szCs w:val="24"/>
          <w:highlight w:val="none"/>
        </w:rPr>
        <w:t>文件第二十一条第三款规定的情形除外，在采购过程中符合竞争要求的供应商或者报价未超过采购预算的供应商不足3家的。</w:t>
      </w:r>
    </w:p>
    <w:p w14:paraId="20CDC66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.4评标委员会认定磋商文件存在歧义、重大缺陷导致评审工作无法进行。</w:t>
      </w:r>
    </w:p>
    <w:p w14:paraId="3EE2E6D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.5供应商的报价均超过了采购预算，采购人不能支付的。</w:t>
      </w:r>
    </w:p>
    <w:p w14:paraId="1F08C5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.6因重大变故，采购任务取消的。</w:t>
      </w:r>
    </w:p>
    <w:p w14:paraId="3D9E0C3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.7在苏采云系统规定时间内成功解密电子响应文件的供应商不足3家的。</w:t>
      </w:r>
    </w:p>
    <w:p w14:paraId="60A4F38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磋商终止后，采购人应当将磋商终止的理由通知所有供应商。</w:t>
      </w:r>
    </w:p>
    <w:p w14:paraId="419057B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.推荐成交候选供应商</w:t>
      </w:r>
    </w:p>
    <w:p w14:paraId="401EB57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.1磋商小组将对通过资格性审查和符合性审查的响应文件进行评价和比较。</w:t>
      </w:r>
    </w:p>
    <w:p w14:paraId="6E063AE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.2磋商小组按磋商文件第三章中公布的评标标准对每份合格响应文件进行评审，推荐3名成交候选供应商。</w:t>
      </w:r>
    </w:p>
    <w:p w14:paraId="3BF3DBE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磋商小组发现磋商文件存在歧义、重大缺陷导致评审工作无法进行，或者磋商文件内容存在违反国家有关规定的，评审工作停止，采购人（代理机构）修改磋商文件后重新组织采购活动。</w:t>
      </w:r>
    </w:p>
    <w:p w14:paraId="7A5F4910">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.磋商过程保密</w:t>
      </w:r>
    </w:p>
    <w:p w14:paraId="6A90056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.1在宣布成交结果前，凡属于审查、澄清、磋商、评审响应文件和确定成交等相关信息，相关当事人均不得泄露给任何供应商或与评审工作无关的人员。</w:t>
      </w:r>
    </w:p>
    <w:p w14:paraId="316C939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.2供应商不得探听上述信息，不得以任何行为影响磋商过程，否则将被取消成交资格。</w:t>
      </w:r>
    </w:p>
    <w:p w14:paraId="622D2B9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.3磋商小组名单在磋商前确定，并在磋商结果确定前保密。</w:t>
      </w:r>
    </w:p>
    <w:p w14:paraId="30013578">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六、确定成交及签订合同</w:t>
      </w:r>
    </w:p>
    <w:p w14:paraId="2A2EF49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.确定成交供应商</w:t>
      </w:r>
    </w:p>
    <w:p w14:paraId="586AFA1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.1磋商小组对实质上响应磋商文件要求的参加磋商的供应商进行综合评审，最终按综合评审得分由高到低的顺序推荐出3名成交候选供应商。</w:t>
      </w:r>
    </w:p>
    <w:p w14:paraId="56E7943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.2成交结果将在</w:t>
      </w:r>
      <w:r>
        <w:rPr>
          <w:rFonts w:hint="eastAsia" w:ascii="宋体" w:hAnsi="宋体" w:eastAsia="宋体" w:cs="宋体"/>
          <w:color w:val="auto"/>
          <w:sz w:val="24"/>
          <w:szCs w:val="24"/>
          <w:highlight w:val="none"/>
          <w:lang w:eastAsia="zh-CN"/>
        </w:rPr>
        <w:t>江苏省政府采购网、淮安市政府采购网</w:t>
      </w:r>
      <w:r>
        <w:rPr>
          <w:rFonts w:hint="eastAsia" w:ascii="宋体" w:hAnsi="宋体" w:eastAsia="宋体" w:cs="宋体"/>
          <w:color w:val="auto"/>
          <w:sz w:val="24"/>
          <w:szCs w:val="24"/>
          <w:highlight w:val="none"/>
        </w:rPr>
        <w:t>进行公告。</w:t>
      </w:r>
    </w:p>
    <w:p w14:paraId="138BF73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.3采购人将从磋商小组推荐的符合采购需求的成交候选供应商中按排名先后确定成交供应商。</w:t>
      </w:r>
    </w:p>
    <w:p w14:paraId="0DDD7D7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.4成交候选人在合同签订前，如经查实从参加该成交项目之日起计算所参加的政府采购活动前三年内，在经营活动中有行贿犯罪记录的，采购人（代理机构）将取消其成交候选人资格。</w:t>
      </w:r>
    </w:p>
    <w:p w14:paraId="06BCB30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.成交通知书</w:t>
      </w:r>
    </w:p>
    <w:p w14:paraId="153F95F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.1成交结果公示结束且在无疑义情况下，采购人（代理机构）将通知成交供应商。</w:t>
      </w:r>
    </w:p>
    <w:p w14:paraId="16CA020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份。</w:t>
      </w:r>
    </w:p>
    <w:p w14:paraId="6977B10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采购人与成交供应商应在成交通知书发出之日起十二日内签订政府采购合同。磋商文件、成交供应商的响应文件及澄清文件等均为签订合同依据。</w:t>
      </w:r>
    </w:p>
    <w:p w14:paraId="0278C0C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成交供应商自成交通知书发出之日起十二日内无正当理由不与采购人签订合同并经财政局备案的，将按规定进行处理。</w:t>
      </w:r>
    </w:p>
    <w:p w14:paraId="4DB306B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成交供应商在合同签订前必须</w:t>
      </w:r>
      <w:r>
        <w:rPr>
          <w:rFonts w:hint="eastAsia" w:ascii="宋体" w:hAnsi="宋体" w:eastAsia="宋体" w:cs="宋体"/>
          <w:color w:val="auto"/>
          <w:sz w:val="24"/>
          <w:szCs w:val="24"/>
          <w:highlight w:val="none"/>
          <w:lang w:eastAsia="zh-CN"/>
        </w:rPr>
        <w:t>缴纳</w:t>
      </w:r>
      <w:r>
        <w:rPr>
          <w:rFonts w:hint="eastAsia" w:ascii="宋体" w:hAnsi="宋体" w:eastAsia="宋体" w:cs="宋体"/>
          <w:color w:val="auto"/>
          <w:sz w:val="24"/>
          <w:szCs w:val="24"/>
          <w:highlight w:val="none"/>
        </w:rPr>
        <w:t>履约保证金。采购人在确认履约保证金</w:t>
      </w:r>
      <w:r>
        <w:rPr>
          <w:rFonts w:hint="eastAsia" w:ascii="宋体" w:hAnsi="宋体" w:eastAsia="宋体" w:cs="宋体"/>
          <w:color w:val="auto"/>
          <w:sz w:val="24"/>
          <w:szCs w:val="24"/>
          <w:highlight w:val="none"/>
          <w:lang w:eastAsia="zh-CN"/>
        </w:rPr>
        <w:t>到账后</w:t>
      </w:r>
      <w:r>
        <w:rPr>
          <w:rFonts w:hint="eastAsia" w:ascii="宋体" w:hAnsi="宋体" w:eastAsia="宋体" w:cs="宋体"/>
          <w:color w:val="auto"/>
          <w:sz w:val="24"/>
          <w:szCs w:val="24"/>
          <w:highlight w:val="none"/>
        </w:rPr>
        <w:t>，将发放成交通知书。逾期未办理作自动放弃处理。</w:t>
      </w:r>
    </w:p>
    <w:p w14:paraId="2DFD6ACA">
      <w:pPr>
        <w:keepNext w:val="0"/>
        <w:keepLines w:val="0"/>
        <w:pageBreakBefore w:val="0"/>
        <w:widowControl w:val="0"/>
        <w:tabs>
          <w:tab w:val="left" w:pos="9354"/>
        </w:tabs>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成交通知书对采购人及成交供应商同时均</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法律效力。</w:t>
      </w:r>
    </w:p>
    <w:p w14:paraId="07A7A98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27.5履约保证金</w:t>
      </w:r>
    </w:p>
    <w:p w14:paraId="2F5744E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27.5.1合同签订前成交供应商向采购人缴纳合同价的1%为</w:t>
      </w:r>
      <w:r>
        <w:rPr>
          <w:rFonts w:hint="eastAsia" w:ascii="宋体" w:hAnsi="宋体" w:eastAsia="宋体" w:cs="宋体"/>
          <w:color w:val="auto"/>
          <w:sz w:val="24"/>
          <w:szCs w:val="24"/>
          <w:highlight w:val="none"/>
        </w:rPr>
        <w:t>本合同的履约保证金。</w:t>
      </w:r>
      <w:r>
        <w:rPr>
          <w:rFonts w:hint="eastAsia" w:ascii="宋体" w:hAnsi="宋体" w:eastAsia="宋体" w:cs="宋体"/>
          <w:color w:val="auto"/>
          <w:sz w:val="24"/>
          <w:szCs w:val="24"/>
          <w:highlight w:val="none"/>
          <w:lang w:val="en-US" w:eastAsia="zh-CN"/>
        </w:rPr>
        <w:t xml:space="preserve"> </w:t>
      </w:r>
    </w:p>
    <w:p w14:paraId="195E4FE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27.5.2成交供应商</w:t>
      </w:r>
      <w:r>
        <w:rPr>
          <w:rFonts w:hint="eastAsia" w:ascii="宋体" w:hAnsi="宋体" w:eastAsia="宋体" w:cs="宋体"/>
          <w:color w:val="auto"/>
          <w:sz w:val="24"/>
          <w:szCs w:val="24"/>
          <w:highlight w:val="none"/>
        </w:rPr>
        <w:t>提供的履约保证金可以是人民币形式（银行本票、汇票、支票、电汇），或银行保函、担保公司的保证担保或保险公司的保证保险等多种形式。</w:t>
      </w:r>
    </w:p>
    <w:p w14:paraId="43C0DFB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27.5.3成交供应商</w:t>
      </w:r>
      <w:r>
        <w:rPr>
          <w:rFonts w:hint="eastAsia" w:ascii="宋体" w:hAnsi="宋体" w:eastAsia="宋体" w:cs="宋体"/>
          <w:color w:val="auto"/>
          <w:sz w:val="24"/>
          <w:szCs w:val="24"/>
          <w:highlight w:val="none"/>
        </w:rPr>
        <w:t>选取银行保函、担保公司的保证担保或保险公司的保证保险等形式的向采购人缴纳的，如保函（担保、保险等）的约定期到期但乙方履约仍未结束的，乙方须进行续保。</w:t>
      </w:r>
    </w:p>
    <w:p w14:paraId="46DBD84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27.5.4成交供应商</w:t>
      </w:r>
      <w:r>
        <w:rPr>
          <w:rFonts w:hint="eastAsia" w:ascii="宋体" w:hAnsi="宋体" w:eastAsia="宋体" w:cs="宋体"/>
          <w:color w:val="auto"/>
          <w:sz w:val="24"/>
          <w:szCs w:val="24"/>
          <w:highlight w:val="none"/>
        </w:rPr>
        <w:t>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〔2023〕150号</w:t>
      </w:r>
      <w:r>
        <w:rPr>
          <w:rFonts w:hint="eastAsia" w:ascii="宋体" w:hAnsi="宋体" w:eastAsia="宋体" w:cs="宋体"/>
          <w:color w:val="auto"/>
          <w:sz w:val="24"/>
          <w:szCs w:val="24"/>
          <w:highlight w:val="none"/>
        </w:rPr>
        <w:t>）的要求，登录“政府采购电子履约保函（保险）平台”，选择第三方机构并提交保函（保险）申请，经审核通过后支付相关费用。</w:t>
      </w:r>
    </w:p>
    <w:p w14:paraId="142505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24.5.5</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未能履行合同规定的义务，</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有权从履约保证金中取得补偿。</w:t>
      </w:r>
    </w:p>
    <w:p w14:paraId="7EC1293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27.5.6</w:t>
      </w:r>
      <w:r>
        <w:rPr>
          <w:rFonts w:hint="eastAsia" w:ascii="宋体" w:hAnsi="宋体" w:eastAsia="宋体" w:cs="宋体"/>
          <w:color w:val="auto"/>
          <w:sz w:val="24"/>
          <w:szCs w:val="24"/>
          <w:highlight w:val="none"/>
        </w:rPr>
        <w:t>履约保证金在合同约定期间内不予退还或者应完全有效</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约定期间届满之日起 5个工作日内，甲方应将履约保证金退还乙方；逾期退还的，按中国人民银行同期贷款</w:t>
      </w:r>
      <w:r>
        <w:rPr>
          <w:rFonts w:hint="eastAsia" w:ascii="宋体" w:hAnsi="宋体" w:eastAsia="宋体" w:cs="宋体"/>
          <w:color w:val="auto"/>
          <w:sz w:val="24"/>
          <w:szCs w:val="24"/>
          <w:highlight w:val="none"/>
          <w:lang w:eastAsia="zh-CN"/>
        </w:rPr>
        <w:t>基准利率</w:t>
      </w:r>
      <w:r>
        <w:rPr>
          <w:rFonts w:hint="eastAsia" w:ascii="宋体" w:hAnsi="宋体" w:eastAsia="宋体" w:cs="宋体"/>
          <w:color w:val="auto"/>
          <w:sz w:val="24"/>
          <w:szCs w:val="24"/>
          <w:highlight w:val="none"/>
        </w:rPr>
        <w:t>上浮20%后的利率支付超期资金占用费，但因乙方自身原因导致无法及时退还的除外。</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27.5.7</w:t>
      </w:r>
      <w:r>
        <w:rPr>
          <w:rFonts w:hint="eastAsia" w:ascii="宋体" w:hAnsi="宋体" w:eastAsia="宋体" w:cs="宋体"/>
          <w:color w:val="auto"/>
          <w:sz w:val="24"/>
          <w:szCs w:val="24"/>
          <w:highlight w:val="none"/>
        </w:rPr>
        <w:t>履约保证金在合同约定期间内不予退还</w:t>
      </w:r>
      <w:r>
        <w:rPr>
          <w:rFonts w:hint="eastAsia" w:ascii="宋体" w:hAnsi="宋体" w:eastAsia="宋体" w:cs="宋体"/>
          <w:color w:val="auto"/>
          <w:sz w:val="24"/>
          <w:szCs w:val="24"/>
          <w:highlight w:val="none"/>
          <w:lang w:eastAsia="zh-CN"/>
        </w:rPr>
        <w:t>或者</w:t>
      </w:r>
      <w:r>
        <w:rPr>
          <w:rFonts w:hint="eastAsia" w:ascii="宋体" w:hAnsi="宋体" w:eastAsia="宋体" w:cs="宋体"/>
          <w:color w:val="auto"/>
          <w:sz w:val="24"/>
          <w:szCs w:val="24"/>
          <w:highlight w:val="none"/>
        </w:rPr>
        <w:t>完全有效，履约保证金在项目验收合格后无息退还给</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w:t>
      </w:r>
    </w:p>
    <w:p w14:paraId="2B383F3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签订合同</w:t>
      </w:r>
    </w:p>
    <w:p w14:paraId="0233A77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.1采购人与成交供应商应在成交通知书发出之日起</w:t>
      </w:r>
      <w:r>
        <w:rPr>
          <w:rFonts w:hint="eastAsia" w:ascii="宋体" w:hAnsi="宋体" w:eastAsia="宋体" w:cs="宋体"/>
          <w:color w:val="auto"/>
          <w:sz w:val="24"/>
          <w:szCs w:val="24"/>
          <w:highlight w:val="none"/>
          <w:lang w:val="en-US" w:eastAsia="zh-CN"/>
        </w:rPr>
        <w:t>十二</w:t>
      </w:r>
      <w:r>
        <w:rPr>
          <w:rFonts w:hint="eastAsia" w:ascii="宋体" w:hAnsi="宋体" w:eastAsia="宋体" w:cs="宋体"/>
          <w:color w:val="auto"/>
          <w:sz w:val="24"/>
          <w:szCs w:val="24"/>
          <w:highlight w:val="none"/>
        </w:rPr>
        <w:t>日内签订政府采购合同。磋商文件、成交供应商的响应文件及澄清文件等均为签订合同依据。</w:t>
      </w:r>
    </w:p>
    <w:p w14:paraId="3E4C9E8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.2成交供应商自成交通知书发出之日起</w:t>
      </w:r>
      <w:r>
        <w:rPr>
          <w:rFonts w:hint="eastAsia" w:ascii="宋体" w:hAnsi="宋体" w:eastAsia="宋体" w:cs="宋体"/>
          <w:bCs/>
          <w:color w:val="auto"/>
          <w:sz w:val="24"/>
          <w:szCs w:val="24"/>
          <w:highlight w:val="none"/>
          <w:lang w:val="en-US" w:eastAsia="zh-CN"/>
        </w:rPr>
        <w:t>十二</w:t>
      </w:r>
      <w:r>
        <w:rPr>
          <w:rFonts w:hint="eastAsia" w:ascii="宋体" w:hAnsi="宋体" w:eastAsia="宋体" w:cs="宋体"/>
          <w:bCs/>
          <w:color w:val="auto"/>
          <w:sz w:val="24"/>
          <w:szCs w:val="24"/>
          <w:highlight w:val="none"/>
        </w:rPr>
        <w:t>日</w:t>
      </w:r>
      <w:r>
        <w:rPr>
          <w:rFonts w:hint="eastAsia" w:ascii="宋体" w:hAnsi="宋体" w:eastAsia="宋体" w:cs="宋体"/>
          <w:color w:val="auto"/>
          <w:sz w:val="24"/>
          <w:szCs w:val="24"/>
          <w:highlight w:val="none"/>
        </w:rPr>
        <w:t>内无正当理由不与采购人签订合同，将按规定进行处理。</w:t>
      </w:r>
    </w:p>
    <w:p w14:paraId="2F28695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如果成交供应商没有按照2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条或</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条的规定去做，采购人可报财政部门取消其成交资格，在此情况下采购人可将标授予下一个成交候选供应商，或重新采购。</w:t>
      </w:r>
    </w:p>
    <w:p w14:paraId="418B804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、标的物的追加</w:t>
      </w:r>
    </w:p>
    <w:p w14:paraId="096F768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额的</w:t>
      </w:r>
      <w:r>
        <w:rPr>
          <w:rFonts w:hint="eastAsia" w:ascii="宋体" w:hAnsi="宋体" w:eastAsia="宋体" w:cs="宋体"/>
          <w:color w:val="auto"/>
          <w:sz w:val="24"/>
          <w:szCs w:val="24"/>
          <w:highlight w:val="none"/>
        </w:rPr>
        <w:t>10%。</w:t>
      </w:r>
    </w:p>
    <w:p w14:paraId="57CF09C6">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七、质疑处理</w:t>
      </w:r>
    </w:p>
    <w:p w14:paraId="09D3058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.质疑处理</w:t>
      </w:r>
    </w:p>
    <w:p w14:paraId="799A5C8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p>
    <w:p w14:paraId="3614E08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.2上述应知其权益受到损害之日是指：</w:t>
      </w:r>
    </w:p>
    <w:p w14:paraId="018BF39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（1）对磋商文件提出质疑的，为收到采购文件之日或者采购文件公告期限届满之日起计算；</w:t>
      </w:r>
    </w:p>
    <w:p w14:paraId="78CA83B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（2）对采购过程提出质疑的，为各采购程序环节结束之日起计算；</w:t>
      </w:r>
    </w:p>
    <w:p w14:paraId="49CB40C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（3）对成交结果提出质疑的，为成交结果公告期限届满之日起计算。</w:t>
      </w:r>
    </w:p>
    <w:p w14:paraId="38CB2C8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.3质疑供应商是指直接参加本次磋商活动的供应商，未参加磋商活动的供应商或在磋商活动中自身权益未受到损害的供应商所提出的质疑不予受理。</w:t>
      </w:r>
    </w:p>
    <w:p w14:paraId="33B888C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.4质疑供应商在法定质疑期内应当一次性提出针对同一采购环节提出质疑。</w:t>
      </w:r>
    </w:p>
    <w:p w14:paraId="5732D5D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.5质疑函必须</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中华人民共和国政府采购法》《中华人民共和国政府采购法实施条例</w:t>
      </w:r>
      <w:r>
        <w:rPr>
          <w:rFonts w:hint="eastAsia" w:ascii="宋体" w:hAnsi="宋体" w:eastAsia="宋体" w:cs="宋体"/>
          <w:color w:val="auto"/>
          <w:sz w:val="24"/>
          <w:szCs w:val="24"/>
          <w:highlight w:val="none"/>
        </w:rPr>
        <w:t>》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p>
    <w:p w14:paraId="67581F5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.6质疑函应当包括以下主要内容，</w:t>
      </w:r>
      <w:r>
        <w:rPr>
          <w:rFonts w:hint="eastAsia" w:ascii="宋体" w:hAnsi="宋体" w:eastAsia="宋体" w:cs="宋体"/>
          <w:color w:val="auto"/>
          <w:sz w:val="24"/>
          <w:szCs w:val="24"/>
          <w:highlight w:val="none"/>
          <w:lang w:val="zh-CN"/>
        </w:rPr>
        <w:t>并</w:t>
      </w:r>
      <w:r>
        <w:rPr>
          <w:rFonts w:hint="eastAsia" w:ascii="宋体" w:hAnsi="宋体" w:eastAsia="宋体" w:cs="宋体"/>
          <w:color w:val="auto"/>
          <w:sz w:val="24"/>
          <w:szCs w:val="24"/>
          <w:highlight w:val="none"/>
        </w:rPr>
        <w:t>按照“谁主张、谁举证”的原则，附上相关证明材料。否则，采购人（代理机构）不予受理。</w:t>
      </w:r>
    </w:p>
    <w:p w14:paraId="0C862FA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（1）质疑磋商供应商的名称、地址、邮编、联系人及联系电话；</w:t>
      </w:r>
    </w:p>
    <w:p w14:paraId="7602300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41FB54C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5" w:name="_Toc16743"/>
      <w:r>
        <w:rPr>
          <w:rFonts w:hint="eastAsia" w:ascii="宋体" w:hAnsi="宋体" w:eastAsia="宋体" w:cs="宋体"/>
          <w:color w:val="auto"/>
          <w:sz w:val="24"/>
          <w:szCs w:val="24"/>
          <w:highlight w:val="none"/>
        </w:rPr>
        <w:t>（3）具体、明确的质疑事项和与质疑事实相关的请求；</w:t>
      </w:r>
      <w:bookmarkEnd w:id="25"/>
    </w:p>
    <w:p w14:paraId="5C675CC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6" w:name="_Toc20203"/>
      <w:r>
        <w:rPr>
          <w:rFonts w:hint="eastAsia" w:ascii="宋体" w:hAnsi="宋体" w:eastAsia="宋体" w:cs="宋体"/>
          <w:color w:val="auto"/>
          <w:sz w:val="24"/>
          <w:szCs w:val="24"/>
          <w:highlight w:val="none"/>
        </w:rPr>
        <w:t>（4）事实依据；</w:t>
      </w:r>
      <w:bookmarkEnd w:id="26"/>
    </w:p>
    <w:p w14:paraId="078EE16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7" w:name="_Toc18795"/>
      <w:r>
        <w:rPr>
          <w:rFonts w:hint="eastAsia" w:ascii="宋体" w:hAnsi="宋体" w:eastAsia="宋体" w:cs="宋体"/>
          <w:color w:val="auto"/>
          <w:sz w:val="24"/>
          <w:szCs w:val="24"/>
          <w:highlight w:val="none"/>
        </w:rPr>
        <w:t>（5）必要的法律依据；</w:t>
      </w:r>
      <w:bookmarkEnd w:id="27"/>
    </w:p>
    <w:p w14:paraId="4AC6BFA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8" w:name="_Toc6388"/>
      <w:r>
        <w:rPr>
          <w:rFonts w:hint="eastAsia" w:ascii="宋体" w:hAnsi="宋体" w:eastAsia="宋体" w:cs="宋体"/>
          <w:color w:val="auto"/>
          <w:sz w:val="24"/>
          <w:szCs w:val="24"/>
          <w:highlight w:val="none"/>
        </w:rPr>
        <w:t>（6）提起质疑的日期；</w:t>
      </w:r>
      <w:bookmarkEnd w:id="28"/>
    </w:p>
    <w:p w14:paraId="7069E51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（7）质疑函应当署名：应当由法定代表人签字并加盖单位公章。</w:t>
      </w:r>
    </w:p>
    <w:p w14:paraId="5D12211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p>
    <w:p w14:paraId="765A9A5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p>
    <w:p w14:paraId="3DFBE81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p>
    <w:p w14:paraId="164390B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.投诉</w:t>
      </w:r>
    </w:p>
    <w:p w14:paraId="75D886E9">
      <w:pPr>
        <w:pStyle w:val="26"/>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.1质疑人对采购人和采购代理机构的答复不满意，或采购人和采购代理机构未在规定的时间内作出答复的，可以在答复期满后十五个工作日内向采购人同级监管部门投诉。</w:t>
      </w:r>
    </w:p>
    <w:p w14:paraId="6F51F222">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八、政府采购政策功能落实</w:t>
      </w:r>
    </w:p>
    <w:p w14:paraId="0F07AC61">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.政策功能落实</w:t>
      </w:r>
    </w:p>
    <w:p w14:paraId="687ACE6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小微型企业价格扣除</w:t>
      </w:r>
    </w:p>
    <w:p w14:paraId="598FE35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32.1.1</w:t>
      </w:r>
      <w:r>
        <w:rPr>
          <w:rFonts w:hint="eastAsia" w:ascii="宋体" w:hAnsi="宋体" w:eastAsia="宋体" w:cs="宋体"/>
          <w:color w:val="auto"/>
          <w:sz w:val="24"/>
          <w:szCs w:val="24"/>
          <w:highlight w:val="none"/>
          <w:lang w:val="zh-CN"/>
        </w:rPr>
        <w:t>对</w:t>
      </w:r>
      <w:r>
        <w:rPr>
          <w:rFonts w:hint="eastAsia" w:ascii="宋体" w:hAnsi="宋体" w:eastAsia="宋体" w:cs="宋体"/>
          <w:color w:val="auto"/>
          <w:sz w:val="24"/>
          <w:szCs w:val="24"/>
          <w:highlight w:val="none"/>
        </w:rPr>
        <w:t>于未专门面向中小企业或者</w:t>
      </w:r>
      <w:r>
        <w:rPr>
          <w:rFonts w:hint="eastAsia" w:ascii="宋体" w:hAnsi="宋体" w:eastAsia="宋体" w:cs="宋体"/>
          <w:color w:val="auto"/>
          <w:sz w:val="24"/>
          <w:szCs w:val="24"/>
          <w:highlight w:val="none"/>
          <w:lang w:val="zh-CN"/>
        </w:rPr>
        <w:t>未预留份额专门面向中小企业采购的采购项目，供应商提供的货物或者服务</w:t>
      </w:r>
      <w:r>
        <w:rPr>
          <w:rFonts w:hint="eastAsia" w:ascii="宋体" w:hAnsi="宋体" w:eastAsia="宋体" w:cs="宋体"/>
          <w:color w:val="auto"/>
          <w:sz w:val="24"/>
          <w:szCs w:val="24"/>
          <w:highlight w:val="none"/>
        </w:rPr>
        <w:t>符合下列情形的，享受本办法规定的中小企业扶持政策给予小型和微型企业报价20%的扣除，用扣除后的价格参与评审。</w:t>
      </w:r>
    </w:p>
    <w:p w14:paraId="69FB58F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32.1.2</w:t>
      </w:r>
      <w:r>
        <w:rPr>
          <w:rFonts w:hint="eastAsia" w:ascii="宋体" w:hAnsi="宋体" w:eastAsia="宋体" w:cs="宋体"/>
          <w:color w:val="auto"/>
          <w:sz w:val="24"/>
          <w:szCs w:val="24"/>
          <w:highlight w:val="none"/>
        </w:rPr>
        <w:t>供应商需按照招标文件的要求提供相应的《企业声明函》，详见招标文件第六章示范格式。</w:t>
      </w:r>
    </w:p>
    <w:p w14:paraId="510F99D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32.1.3</w:t>
      </w:r>
      <w:r>
        <w:rPr>
          <w:rFonts w:hint="eastAsia" w:ascii="宋体" w:hAnsi="宋体" w:eastAsia="宋体" w:cs="宋体"/>
          <w:color w:val="auto"/>
          <w:sz w:val="24"/>
          <w:szCs w:val="24"/>
          <w:highlight w:val="none"/>
        </w:rPr>
        <w:t>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06425DC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残疾人福利单位价格扣除</w:t>
      </w:r>
    </w:p>
    <w:p w14:paraId="7356B5B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32.2.1</w:t>
      </w:r>
      <w:r>
        <w:rPr>
          <w:rFonts w:hint="eastAsia" w:ascii="宋体" w:hAnsi="宋体" w:eastAsia="宋体" w:cs="宋体"/>
          <w:color w:val="auto"/>
          <w:sz w:val="24"/>
          <w:szCs w:val="24"/>
          <w:highlight w:val="none"/>
        </w:rPr>
        <w:t>本项目对残疾人福利性单位视同小型、微型企业，给予20%的价格扣除，用扣除后的价格参与评审。</w:t>
      </w:r>
    </w:p>
    <w:p w14:paraId="3280953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32.2.2</w:t>
      </w:r>
      <w:r>
        <w:rPr>
          <w:rFonts w:hint="eastAsia" w:ascii="宋体" w:hAnsi="宋体" w:eastAsia="宋体" w:cs="宋体"/>
          <w:color w:val="auto"/>
          <w:sz w:val="24"/>
          <w:szCs w:val="24"/>
          <w:highlight w:val="none"/>
        </w:rPr>
        <w:t>残疾人福利单位需按照招标文件的要求提供《残疾人福利性单位声明函》，详见招标文件第六章示范格式。</w:t>
      </w:r>
    </w:p>
    <w:p w14:paraId="6F05F6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32.2.3</w:t>
      </w:r>
      <w:r>
        <w:rPr>
          <w:rFonts w:hint="eastAsia" w:ascii="宋体" w:hAnsi="宋体" w:eastAsia="宋体" w:cs="宋体"/>
          <w:color w:val="auto"/>
          <w:sz w:val="24"/>
          <w:szCs w:val="24"/>
          <w:highlight w:val="none"/>
        </w:rPr>
        <w:t>残疾人福利单位标准请参照《关于促进残疾人就业政府采购政策的通知》（财库〔2017〕141号）。</w:t>
      </w:r>
    </w:p>
    <w:p w14:paraId="5550B71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w:t>
      </w:r>
      <w:r>
        <w:rPr>
          <w:rFonts w:hint="eastAsia" w:ascii="宋体" w:hAnsi="宋体" w:eastAsia="宋体" w:cs="宋体"/>
          <w:color w:val="auto"/>
          <w:sz w:val="24"/>
          <w:szCs w:val="24"/>
          <w:highlight w:val="none"/>
        </w:rPr>
        <w:t>监狱和戒毒企业价格扣除</w:t>
      </w:r>
    </w:p>
    <w:p w14:paraId="37DD959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32.3.1</w:t>
      </w:r>
      <w:r>
        <w:rPr>
          <w:rFonts w:hint="eastAsia" w:ascii="宋体" w:hAnsi="宋体" w:eastAsia="宋体" w:cs="宋体"/>
          <w:color w:val="auto"/>
          <w:sz w:val="24"/>
          <w:szCs w:val="24"/>
          <w:highlight w:val="none"/>
        </w:rPr>
        <w:t>本项目对监狱和戒毒企业（简称监狱企业）视同小型、微型企业，给予20%的价格扣除，用扣除后的价格参与评审。</w:t>
      </w:r>
    </w:p>
    <w:p w14:paraId="44C8A2D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32.3.2</w:t>
      </w:r>
      <w:r>
        <w:rPr>
          <w:rFonts w:hint="eastAsia" w:ascii="宋体" w:hAnsi="宋体" w:eastAsia="宋体" w:cs="宋体"/>
          <w:color w:val="auto"/>
          <w:sz w:val="24"/>
          <w:szCs w:val="24"/>
          <w:highlight w:val="none"/>
        </w:rPr>
        <w:t>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p>
    <w:p w14:paraId="0B60AA2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32.3.3</w:t>
      </w:r>
      <w:r>
        <w:rPr>
          <w:rFonts w:hint="eastAsia" w:ascii="宋体" w:hAnsi="宋体" w:eastAsia="宋体" w:cs="宋体"/>
          <w:color w:val="auto"/>
          <w:sz w:val="24"/>
          <w:szCs w:val="24"/>
          <w:highlight w:val="none"/>
        </w:rPr>
        <w:t>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42299FC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32.3.4</w:t>
      </w:r>
      <w:r>
        <w:rPr>
          <w:rFonts w:hint="eastAsia" w:ascii="宋体" w:hAnsi="宋体" w:eastAsia="宋体" w:cs="宋体"/>
          <w:color w:val="auto"/>
          <w:sz w:val="24"/>
          <w:szCs w:val="24"/>
          <w:highlight w:val="none"/>
        </w:rPr>
        <w:t>对于同时属于小型、微型企业、残疾人福利单位、监狱企业的，不重复享受政策。</w:t>
      </w:r>
    </w:p>
    <w:p w14:paraId="13E55396">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节能、环保政策（本项目不涉及）</w:t>
      </w:r>
    </w:p>
    <w:p w14:paraId="56E98AAF">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2F12CFC1">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.2节能产品（本项目不涉及）</w:t>
      </w:r>
    </w:p>
    <w:p w14:paraId="5EC646D0">
      <w:pPr>
        <w:keepNext w:val="0"/>
        <w:keepLines w:val="0"/>
        <w:pageBreakBefore w:val="0"/>
        <w:widowControl w:val="0"/>
        <w:spacing w:line="380" w:lineRule="exact"/>
        <w:ind w:firstLine="2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采购产品</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被列入“节能产品品目清单”的，实行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优先采购/强制采购）。</w:t>
      </w:r>
    </w:p>
    <w:p w14:paraId="2AEB8C58">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.3环保产品（本项目不涉及）</w:t>
      </w:r>
    </w:p>
    <w:p w14:paraId="4CF458BE">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采购产品</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中投标产品被列入“环境标志产品品目清单”，实行优先采购。</w:t>
      </w:r>
    </w:p>
    <w:p w14:paraId="2499B58B">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51709B73">
      <w:pPr>
        <w:keepNext w:val="0"/>
        <w:keepLines w:val="0"/>
        <w:pageBreakBefore w:val="0"/>
        <w:widowControl w:val="0"/>
        <w:spacing w:line="380" w:lineRule="exact"/>
        <w:ind w:firstLine="24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通知》（财库〔2019〕19号）执行。国家对品目清单进行调整的，按照最新调整的品目清单执行。</w:t>
      </w:r>
    </w:p>
    <w:p w14:paraId="15BA6997">
      <w:pPr>
        <w:keepNext w:val="0"/>
        <w:keepLines w:val="0"/>
        <w:pageBreakBefore w:val="0"/>
        <w:widowControl w:val="0"/>
        <w:spacing w:line="380" w:lineRule="exact"/>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．政府绿色采购</w:t>
      </w:r>
    </w:p>
    <w:p w14:paraId="24FCE170">
      <w:pPr>
        <w:keepNext w:val="0"/>
        <w:keepLines w:val="0"/>
        <w:pageBreakBefore w:val="0"/>
        <w:widowControl w:val="0"/>
        <w:spacing w:line="380" w:lineRule="exact"/>
        <w:ind w:firstLine="24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根据《江苏省财政厅关于加强政府绿色采购有关事项的通知》（苏财购〔2023〕65号）的要求，落实政府绿色采购相关政策，具体如下：</w:t>
      </w:r>
    </w:p>
    <w:p w14:paraId="06DFF80E">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.1本项目为货物类采购项目的，所提供的产品需综合考虑节能环保、节水、循环再生、低碳、有机等因素；本项目为物业、合同能源管理等服务类采购项目的，应在服务中加强绿色低碳管理。</w:t>
      </w:r>
    </w:p>
    <w:p w14:paraId="1A6DAEAB">
      <w:pPr>
        <w:pStyle w:val="31"/>
        <w:keepNext w:val="0"/>
        <w:keepLines w:val="0"/>
        <w:pageBreakBefore w:val="0"/>
        <w:widowControl w:val="0"/>
        <w:spacing w:after="0" w:line="380" w:lineRule="exact"/>
        <w:ind w:left="0"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306FE577">
      <w:pPr>
        <w:pStyle w:val="31"/>
        <w:keepNext w:val="0"/>
        <w:keepLines w:val="0"/>
        <w:pageBreakBefore w:val="0"/>
        <w:widowControl w:val="0"/>
        <w:spacing w:line="380" w:lineRule="exact"/>
        <w:ind w:left="0"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.3本项目中</w:t>
      </w:r>
      <w:r>
        <w:rPr>
          <w:rFonts w:hint="eastAsia" w:ascii="宋体" w:hAnsi="宋体" w:eastAsia="宋体" w:cs="宋体"/>
          <w:color w:val="auto"/>
          <w:sz w:val="24"/>
          <w:szCs w:val="24"/>
          <w:highlight w:val="none"/>
          <w:lang w:val="en-US" w:eastAsia="zh-CN"/>
        </w:rPr>
        <w:t>如</w:t>
      </w:r>
      <w:r>
        <w:rPr>
          <w:rFonts w:hint="eastAsia" w:ascii="宋体" w:hAnsi="宋体" w:eastAsia="宋体" w:cs="宋体"/>
          <w:color w:val="auto"/>
          <w:sz w:val="24"/>
          <w:szCs w:val="24"/>
          <w:highlight w:val="none"/>
          <w:lang w:eastAsia="zh-CN"/>
        </w:rPr>
        <w:t>涉及涂料、胶黏剂、油墨、清洗剂等挥发性有机物产品的，要执行国家和江苏省VOCs含量限制标准，优先使用低挥发性原辅材料，使用低VOCs含量的涂料、胶黏剂等。</w:t>
      </w:r>
    </w:p>
    <w:p w14:paraId="6ED7B63F">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.政府采购履约资金扶持政策</w:t>
      </w:r>
    </w:p>
    <w:p w14:paraId="0E6C1284">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35.1中标供应商可凭政府采购合同办理融资贷款，详情请见江苏政府采购网“政采贷”专栏。</w:t>
      </w:r>
    </w:p>
    <w:p w14:paraId="707AD9F6">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342B7A8">
      <w:pPr>
        <w:keepNext w:val="0"/>
        <w:keepLines w:val="0"/>
        <w:pageBreakBefore w:val="0"/>
        <w:widowControl w:val="0"/>
        <w:spacing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有融资贷款需求的成交人，与采购人在苏采云【合同在线签订】模块中进行合同在线签订时，【账户信息完善】的“是否融资”一栏中需选择“是”，同时完善收款账号信息和合同补充协议（融资账号）。</w:t>
      </w:r>
    </w:p>
    <w:p w14:paraId="166431EB">
      <w:pPr>
        <w:keepNext w:val="0"/>
        <w:keepLines w:val="0"/>
        <w:pageBreakBefore w:val="0"/>
        <w:widowControl w:val="0"/>
        <w:spacing w:line="380" w:lineRule="exact"/>
        <w:ind w:firstLine="560"/>
        <w:rPr>
          <w:rFonts w:hint="eastAsia" w:ascii="宋体" w:hAnsi="宋体" w:eastAsia="宋体" w:cs="宋体"/>
          <w:color w:val="auto"/>
          <w:sz w:val="24"/>
          <w:szCs w:val="24"/>
          <w:highlight w:val="none"/>
        </w:rPr>
      </w:pPr>
    </w:p>
    <w:p w14:paraId="62B51622">
      <w:pPr>
        <w:keepNext w:val="0"/>
        <w:keepLines w:val="0"/>
        <w:pageBreakBefore w:val="0"/>
        <w:widowControl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2A94F83E">
      <w:pPr>
        <w:pageBreakBefore w:val="0"/>
        <w:spacing w:line="380" w:lineRule="exact"/>
        <w:jc w:val="center"/>
        <w:outlineLvl w:val="0"/>
        <w:rPr>
          <w:rFonts w:hint="eastAsia" w:ascii="宋体" w:hAnsi="宋体" w:eastAsia="宋体" w:cs="宋体"/>
          <w:b/>
          <w:color w:val="auto"/>
          <w:sz w:val="30"/>
          <w:szCs w:val="30"/>
          <w:highlight w:val="none"/>
        </w:rPr>
      </w:pPr>
      <w:bookmarkStart w:id="29" w:name="OLE_LINK21"/>
      <w:r>
        <w:rPr>
          <w:rFonts w:hint="eastAsia" w:ascii="宋体" w:hAnsi="宋体" w:eastAsia="宋体" w:cs="宋体"/>
          <w:b/>
          <w:color w:val="auto"/>
          <w:sz w:val="30"/>
          <w:szCs w:val="30"/>
          <w:highlight w:val="none"/>
        </w:rPr>
        <w:t>第三章  评标标准</w:t>
      </w:r>
    </w:p>
    <w:p w14:paraId="22E32A9D">
      <w:pPr>
        <w:keepNext w:val="0"/>
        <w:keepLines w:val="0"/>
        <w:pageBreakBefore w:val="0"/>
        <w:widowControl w:val="0"/>
        <w:spacing w:line="380" w:lineRule="exact"/>
        <w:ind w:firstLine="53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一、本项目采用综合评分法进行评审。</w:t>
      </w:r>
      <w:r>
        <w:rPr>
          <w:rFonts w:hint="eastAsia" w:ascii="宋体" w:hAnsi="宋体" w:eastAsia="宋体" w:cs="宋体"/>
          <w:color w:val="auto"/>
          <w:sz w:val="24"/>
          <w:szCs w:val="24"/>
          <w:highlight w:val="none"/>
        </w:rPr>
        <w:t>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评审因素的量化指标评审得分最高的供应商为成交候选供应商的评标方法。</w:t>
      </w:r>
    </w:p>
    <w:p w14:paraId="4B77204C">
      <w:pPr>
        <w:pStyle w:val="43"/>
        <w:numPr>
          <w:ilvl w:val="0"/>
          <w:numId w:val="3"/>
        </w:numPr>
        <w:spacing w:line="400" w:lineRule="exact"/>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磋商小组将依据下列评分细则进行评标（总分值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100分）：投标报价得分保留小数点后两位，小数点后第三位四舍五入。</w:t>
      </w:r>
      <w:r>
        <w:rPr>
          <w:rFonts w:hint="eastAsia" w:ascii="宋体" w:hAnsi="宋体" w:cs="楷体"/>
          <w:sz w:val="24"/>
        </w:rPr>
        <w:t>评标委会按评审后最终综合得分由高到低顺序排列名次，并推荐出中标人。得分相同的，按投标报价由低到高顺序排列，得分且投标报价相同的，按技术指标优劣顺序排列。</w:t>
      </w:r>
    </w:p>
    <w:p w14:paraId="6B030C4F">
      <w:pPr>
        <w:keepNext w:val="0"/>
        <w:keepLines w:val="0"/>
        <w:pageBreakBefore w:val="0"/>
        <w:widowControl w:val="0"/>
        <w:spacing w:line="380" w:lineRule="exact"/>
        <w:jc w:val="center"/>
        <w:rPr>
          <w:rFonts w:hint="eastAsia" w:ascii="宋体" w:hAnsi="宋体" w:eastAsia="宋体" w:cs="宋体"/>
          <w:b/>
          <w:color w:val="auto"/>
          <w:sz w:val="24"/>
          <w:szCs w:val="24"/>
          <w:highlight w:val="none"/>
        </w:rPr>
      </w:pPr>
      <w:bookmarkStart w:id="30" w:name="OLE_LINK16"/>
    </w:p>
    <w:p w14:paraId="6D598CB1">
      <w:pPr>
        <w:keepNext w:val="0"/>
        <w:keepLines w:val="0"/>
        <w:pageBreakBefore w:val="0"/>
        <w:widowControl w:val="0"/>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综合评审因素和评分标准（100分）</w:t>
      </w:r>
    </w:p>
    <w:bookmarkEnd w:id="30"/>
    <w:tbl>
      <w:tblPr>
        <w:tblStyle w:val="20"/>
        <w:tblpPr w:leftFromText="180" w:rightFromText="180" w:vertAnchor="text" w:horzAnchor="page" w:tblpX="1067" w:tblpY="790"/>
        <w:tblW w:w="53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1100"/>
        <w:gridCol w:w="6737"/>
        <w:gridCol w:w="1029"/>
      </w:tblGrid>
      <w:tr w14:paraId="26AE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497" w:type="pct"/>
            <w:noWrap w:val="0"/>
            <w:vAlign w:val="center"/>
          </w:tcPr>
          <w:p w14:paraId="06F95EAF">
            <w:pPr>
              <w:keepNext w:val="0"/>
              <w:keepLines w:val="0"/>
              <w:pageBreakBefore w:val="0"/>
              <w:widowControl w:val="0"/>
              <w:spacing w:line="360" w:lineRule="auto"/>
              <w:ind w:firstLine="0"/>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558" w:type="pct"/>
            <w:noWrap w:val="0"/>
            <w:vAlign w:val="center"/>
          </w:tcPr>
          <w:p w14:paraId="2054CD2B">
            <w:pPr>
              <w:keepNext w:val="0"/>
              <w:keepLines w:val="0"/>
              <w:pageBreakBefore w:val="0"/>
              <w:widowControl w:val="0"/>
              <w:spacing w:line="360" w:lineRule="auto"/>
              <w:ind w:firstLine="0"/>
              <w:jc w:val="center"/>
              <w:rPr>
                <w:rFonts w:hint="eastAsia" w:ascii="宋体" w:hAnsi="宋体" w:eastAsia="宋体" w:cs="宋体"/>
                <w:bCs/>
                <w:sz w:val="24"/>
                <w:szCs w:val="24"/>
              </w:rPr>
            </w:pPr>
            <w:r>
              <w:rPr>
                <w:rFonts w:hint="eastAsia" w:ascii="宋体" w:hAnsi="宋体" w:eastAsia="宋体" w:cs="宋体"/>
                <w:bCs/>
                <w:sz w:val="24"/>
                <w:szCs w:val="24"/>
              </w:rPr>
              <w:t>项目</w:t>
            </w:r>
          </w:p>
          <w:p w14:paraId="770CBD09">
            <w:pPr>
              <w:keepNext w:val="0"/>
              <w:keepLines w:val="0"/>
              <w:pageBreakBefore w:val="0"/>
              <w:widowControl w:val="0"/>
              <w:spacing w:line="360" w:lineRule="auto"/>
              <w:ind w:firstLine="0"/>
              <w:jc w:val="center"/>
              <w:rPr>
                <w:rFonts w:hint="eastAsia" w:ascii="宋体" w:hAnsi="宋体" w:eastAsia="宋体" w:cs="宋体"/>
                <w:bCs/>
                <w:sz w:val="24"/>
                <w:szCs w:val="24"/>
              </w:rPr>
            </w:pPr>
            <w:r>
              <w:rPr>
                <w:rFonts w:hint="eastAsia" w:ascii="宋体" w:hAnsi="宋体" w:eastAsia="宋体" w:cs="宋体"/>
                <w:bCs/>
                <w:sz w:val="24"/>
                <w:szCs w:val="24"/>
              </w:rPr>
              <w:t>细则</w:t>
            </w:r>
          </w:p>
        </w:tc>
        <w:tc>
          <w:tcPr>
            <w:tcW w:w="3421" w:type="pct"/>
            <w:noWrap w:val="0"/>
            <w:vAlign w:val="center"/>
          </w:tcPr>
          <w:p w14:paraId="2F163EF9">
            <w:pPr>
              <w:keepNext w:val="0"/>
              <w:keepLines w:val="0"/>
              <w:pageBreakBefore w:val="0"/>
              <w:widowControl w:val="0"/>
              <w:spacing w:line="360" w:lineRule="auto"/>
              <w:ind w:firstLine="0"/>
              <w:jc w:val="center"/>
              <w:rPr>
                <w:rFonts w:hint="eastAsia" w:ascii="宋体" w:hAnsi="宋体" w:eastAsia="宋体" w:cs="宋体"/>
                <w:bCs/>
                <w:sz w:val="24"/>
                <w:szCs w:val="24"/>
              </w:rPr>
            </w:pPr>
            <w:r>
              <w:rPr>
                <w:rFonts w:hint="eastAsia" w:ascii="宋体" w:hAnsi="宋体" w:eastAsia="宋体" w:cs="宋体"/>
                <w:bCs/>
                <w:sz w:val="24"/>
                <w:szCs w:val="24"/>
              </w:rPr>
              <w:t>评分细则、标准</w:t>
            </w:r>
          </w:p>
        </w:tc>
        <w:tc>
          <w:tcPr>
            <w:tcW w:w="522" w:type="pct"/>
            <w:noWrap w:val="0"/>
            <w:vAlign w:val="center"/>
          </w:tcPr>
          <w:p w14:paraId="36EC0577">
            <w:pPr>
              <w:keepNext w:val="0"/>
              <w:keepLines w:val="0"/>
              <w:pageBreakBefore w:val="0"/>
              <w:widowControl w:val="0"/>
              <w:spacing w:line="360" w:lineRule="auto"/>
              <w:ind w:firstLine="0"/>
              <w:jc w:val="center"/>
              <w:rPr>
                <w:rFonts w:hint="eastAsia" w:ascii="宋体" w:hAnsi="宋体" w:eastAsia="宋体" w:cs="宋体"/>
                <w:bCs/>
                <w:sz w:val="24"/>
                <w:szCs w:val="24"/>
              </w:rPr>
            </w:pPr>
            <w:r>
              <w:rPr>
                <w:rFonts w:hint="eastAsia" w:ascii="宋体" w:hAnsi="宋体" w:eastAsia="宋体" w:cs="宋体"/>
                <w:bCs/>
                <w:sz w:val="24"/>
                <w:szCs w:val="24"/>
              </w:rPr>
              <w:t>最高</w:t>
            </w:r>
          </w:p>
          <w:p w14:paraId="68CF8115">
            <w:pPr>
              <w:keepNext w:val="0"/>
              <w:keepLines w:val="0"/>
              <w:pageBreakBefore w:val="0"/>
              <w:widowControl w:val="0"/>
              <w:spacing w:line="360" w:lineRule="auto"/>
              <w:ind w:firstLine="0"/>
              <w:jc w:val="center"/>
              <w:rPr>
                <w:rFonts w:hint="eastAsia" w:ascii="宋体" w:hAnsi="宋体" w:eastAsia="宋体" w:cs="宋体"/>
                <w:bCs/>
                <w:sz w:val="24"/>
                <w:szCs w:val="24"/>
              </w:rPr>
            </w:pPr>
            <w:r>
              <w:rPr>
                <w:rFonts w:hint="eastAsia" w:ascii="宋体" w:hAnsi="宋体" w:eastAsia="宋体" w:cs="宋体"/>
                <w:bCs/>
                <w:sz w:val="24"/>
                <w:szCs w:val="24"/>
              </w:rPr>
              <w:t>分值</w:t>
            </w:r>
          </w:p>
        </w:tc>
      </w:tr>
      <w:tr w14:paraId="36EC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497" w:type="pct"/>
            <w:noWrap w:val="0"/>
            <w:vAlign w:val="center"/>
          </w:tcPr>
          <w:p w14:paraId="4D9BC960">
            <w:pPr>
              <w:keepNext w:val="0"/>
              <w:keepLines w:val="0"/>
              <w:pageBreakBefore w:val="0"/>
              <w:spacing w:line="360" w:lineRule="auto"/>
              <w:ind w:firstLine="0"/>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1</w:t>
            </w:r>
          </w:p>
        </w:tc>
        <w:tc>
          <w:tcPr>
            <w:tcW w:w="4502" w:type="pct"/>
            <w:gridSpan w:val="3"/>
            <w:noWrap w:val="0"/>
            <w:vAlign w:val="center"/>
          </w:tcPr>
          <w:p w14:paraId="530AFDB1">
            <w:pPr>
              <w:keepNext w:val="0"/>
              <w:keepLines w:val="0"/>
              <w:pageBreakBefore w:val="0"/>
              <w:spacing w:line="360" w:lineRule="auto"/>
              <w:ind w:firstLine="0"/>
              <w:jc w:val="left"/>
              <w:rPr>
                <w:rFonts w:hint="eastAsia" w:ascii="宋体" w:hAnsi="宋体" w:eastAsia="宋体" w:cs="宋体"/>
                <w:b/>
                <w:bCs w:val="0"/>
                <w:sz w:val="24"/>
                <w:szCs w:val="24"/>
              </w:rPr>
            </w:pPr>
            <w:r>
              <w:rPr>
                <w:rFonts w:hint="eastAsia" w:ascii="宋体" w:hAnsi="宋体" w:eastAsia="宋体" w:cs="宋体"/>
                <w:b/>
                <w:bCs w:val="0"/>
                <w:sz w:val="24"/>
                <w:szCs w:val="24"/>
              </w:rPr>
              <w:t>投标报价：</w:t>
            </w:r>
            <w:r>
              <w:rPr>
                <w:rFonts w:hint="eastAsia" w:ascii="宋体" w:hAnsi="宋体" w:cs="宋体"/>
                <w:b/>
                <w:bCs w:val="0"/>
                <w:sz w:val="24"/>
                <w:szCs w:val="24"/>
                <w:lang w:val="en-US" w:eastAsia="zh-CN"/>
              </w:rPr>
              <w:t>15</w:t>
            </w:r>
            <w:r>
              <w:rPr>
                <w:rFonts w:hint="eastAsia" w:ascii="宋体" w:hAnsi="宋体" w:eastAsia="宋体" w:cs="宋体"/>
                <w:b/>
                <w:bCs w:val="0"/>
                <w:sz w:val="24"/>
                <w:szCs w:val="24"/>
              </w:rPr>
              <w:t>分</w:t>
            </w:r>
          </w:p>
        </w:tc>
      </w:tr>
      <w:tr w14:paraId="4642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trPr>
        <w:tc>
          <w:tcPr>
            <w:tcW w:w="497" w:type="pct"/>
            <w:noWrap w:val="0"/>
            <w:vAlign w:val="center"/>
          </w:tcPr>
          <w:p w14:paraId="564222A7">
            <w:pPr>
              <w:keepNext w:val="0"/>
              <w:keepLines w:val="0"/>
              <w:pageBreakBefore w:val="0"/>
              <w:spacing w:line="360" w:lineRule="auto"/>
              <w:ind w:firstLine="0"/>
              <w:jc w:val="center"/>
              <w:rPr>
                <w:rFonts w:hint="eastAsia" w:ascii="宋体" w:hAnsi="宋体" w:eastAsia="宋体" w:cs="宋体"/>
                <w:bCs/>
                <w:sz w:val="24"/>
                <w:szCs w:val="24"/>
                <w:lang w:val="en-US" w:eastAsia="zh-CN"/>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.1</w:t>
            </w:r>
          </w:p>
        </w:tc>
        <w:tc>
          <w:tcPr>
            <w:tcW w:w="558" w:type="pct"/>
            <w:noWrap w:val="0"/>
            <w:vAlign w:val="center"/>
          </w:tcPr>
          <w:p w14:paraId="5FD9F69E">
            <w:pPr>
              <w:keepNext w:val="0"/>
              <w:keepLines w:val="0"/>
              <w:pageBreakBefore w:val="0"/>
              <w:spacing w:line="360" w:lineRule="auto"/>
              <w:ind w:firstLine="0"/>
              <w:rPr>
                <w:rFonts w:hint="eastAsia" w:ascii="宋体" w:hAnsi="宋体" w:eastAsia="宋体" w:cs="宋体"/>
                <w:bCs/>
                <w:sz w:val="24"/>
                <w:szCs w:val="24"/>
              </w:rPr>
            </w:pPr>
            <w:r>
              <w:rPr>
                <w:rFonts w:hint="eastAsia" w:ascii="宋体" w:hAnsi="宋体" w:eastAsia="宋体" w:cs="宋体"/>
                <w:bCs/>
                <w:sz w:val="24"/>
                <w:szCs w:val="24"/>
              </w:rPr>
              <w:t>价格分</w:t>
            </w:r>
          </w:p>
        </w:tc>
        <w:tc>
          <w:tcPr>
            <w:tcW w:w="3421" w:type="pct"/>
            <w:noWrap w:val="0"/>
            <w:vAlign w:val="center"/>
          </w:tcPr>
          <w:p w14:paraId="73775724">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zh-CN" w:eastAsia="zh-CN"/>
              </w:rPr>
              <w:t>采用低价优先法计算，即满足招标文件要求且投标价格最低的投标报价为评标基准价，其价格分为满分。其他投标人的价格分统一按照下列公式计算：</w:t>
            </w:r>
          </w:p>
          <w:p w14:paraId="0DBFE13F">
            <w:pPr>
              <w:keepNext w:val="0"/>
              <w:keepLines w:val="0"/>
              <w:pageBreakBefore w:val="0"/>
              <w:spacing w:line="240" w:lineRule="auto"/>
              <w:rPr>
                <w:rFonts w:hint="eastAsia" w:ascii="宋体" w:hAnsi="宋体" w:eastAsia="宋体" w:cs="宋体"/>
                <w:bCs/>
                <w:sz w:val="24"/>
                <w:szCs w:val="24"/>
              </w:rPr>
            </w:pPr>
            <w:r>
              <w:rPr>
                <w:rFonts w:hint="eastAsia" w:ascii="宋体" w:hAnsi="宋体" w:eastAsia="宋体" w:cs="宋体"/>
                <w:b w:val="0"/>
                <w:bCs/>
                <w:sz w:val="21"/>
                <w:szCs w:val="21"/>
                <w:lang w:val="zh-CN" w:eastAsia="zh-CN"/>
              </w:rPr>
              <w:t>投标报价得分= (评标基准价/投标报价) x</w:t>
            </w:r>
            <w:r>
              <w:rPr>
                <w:rFonts w:hint="eastAsia" w:ascii="宋体" w:hAnsi="宋体" w:eastAsia="宋体" w:cs="宋体"/>
                <w:b w:val="0"/>
                <w:bCs/>
                <w:sz w:val="21"/>
                <w:szCs w:val="21"/>
                <w:lang w:val="en-US" w:eastAsia="zh-CN"/>
              </w:rPr>
              <w:t>15</w:t>
            </w:r>
            <w:r>
              <w:rPr>
                <w:rFonts w:hint="eastAsia" w:ascii="宋体" w:hAnsi="宋体" w:eastAsia="宋体" w:cs="宋体"/>
                <w:b w:val="0"/>
                <w:bCs/>
                <w:sz w:val="21"/>
                <w:szCs w:val="21"/>
                <w:lang w:val="zh-CN" w:eastAsia="zh-CN"/>
              </w:rPr>
              <w:t>分。</w:t>
            </w:r>
          </w:p>
        </w:tc>
        <w:tc>
          <w:tcPr>
            <w:tcW w:w="522" w:type="pct"/>
            <w:noWrap w:val="0"/>
            <w:vAlign w:val="center"/>
          </w:tcPr>
          <w:p w14:paraId="63822AC9">
            <w:pPr>
              <w:keepNext w:val="0"/>
              <w:keepLines w:val="0"/>
              <w:pageBreakBefore w:val="0"/>
              <w:spacing w:line="360" w:lineRule="auto"/>
              <w:ind w:firstLine="0"/>
              <w:jc w:val="center"/>
              <w:rPr>
                <w:rFonts w:hint="eastAsia" w:ascii="宋体" w:hAnsi="宋体" w:eastAsia="宋体" w:cs="宋体"/>
                <w:bCs/>
                <w:sz w:val="24"/>
                <w:szCs w:val="24"/>
              </w:rPr>
            </w:pPr>
            <w:r>
              <w:rPr>
                <w:rFonts w:hint="eastAsia" w:ascii="宋体" w:hAnsi="宋体" w:cs="宋体"/>
                <w:bCs/>
                <w:sz w:val="24"/>
                <w:szCs w:val="24"/>
                <w:lang w:val="en-US" w:eastAsia="zh-CN"/>
              </w:rPr>
              <w:t>15</w:t>
            </w:r>
            <w:r>
              <w:rPr>
                <w:rFonts w:hint="eastAsia" w:ascii="宋体" w:hAnsi="宋体" w:eastAsia="宋体" w:cs="宋体"/>
                <w:bCs/>
                <w:sz w:val="24"/>
                <w:szCs w:val="24"/>
              </w:rPr>
              <w:t>分</w:t>
            </w:r>
          </w:p>
        </w:tc>
      </w:tr>
      <w:tr w14:paraId="6BC1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497" w:type="pct"/>
            <w:noWrap w:val="0"/>
            <w:vAlign w:val="center"/>
          </w:tcPr>
          <w:p w14:paraId="56B3244A">
            <w:pPr>
              <w:keepNext w:val="0"/>
              <w:keepLines w:val="0"/>
              <w:pageBreakBefore w:val="0"/>
              <w:spacing w:line="360" w:lineRule="auto"/>
              <w:ind w:firstLine="0"/>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2</w:t>
            </w:r>
          </w:p>
        </w:tc>
        <w:tc>
          <w:tcPr>
            <w:tcW w:w="4502" w:type="pct"/>
            <w:gridSpan w:val="3"/>
            <w:noWrap w:val="0"/>
            <w:vAlign w:val="center"/>
          </w:tcPr>
          <w:p w14:paraId="6DAE108A">
            <w:pPr>
              <w:keepNext w:val="0"/>
              <w:keepLines w:val="0"/>
              <w:pageBreakBefore w:val="0"/>
              <w:spacing w:line="360" w:lineRule="auto"/>
              <w:ind w:firstLine="0"/>
              <w:jc w:val="left"/>
              <w:rPr>
                <w:rFonts w:hint="default" w:ascii="宋体" w:hAnsi="宋体" w:eastAsia="宋体" w:cs="宋体"/>
                <w:b/>
                <w:bCs w:val="0"/>
                <w:sz w:val="24"/>
                <w:szCs w:val="24"/>
                <w:lang w:val="en-US" w:eastAsia="zh-CN"/>
              </w:rPr>
            </w:pPr>
            <w:r>
              <w:rPr>
                <w:rFonts w:hint="eastAsia" w:ascii="宋体" w:hAnsi="宋体" w:cs="宋体"/>
                <w:b/>
                <w:bCs w:val="0"/>
                <w:sz w:val="24"/>
                <w:szCs w:val="24"/>
                <w:lang w:val="en-US" w:eastAsia="zh-CN"/>
              </w:rPr>
              <w:t>商务分30分</w:t>
            </w:r>
          </w:p>
        </w:tc>
      </w:tr>
      <w:tr w14:paraId="35029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497" w:type="pct"/>
            <w:noWrap w:val="0"/>
            <w:vAlign w:val="center"/>
          </w:tcPr>
          <w:p w14:paraId="5A7C7643">
            <w:pPr>
              <w:keepNext w:val="0"/>
              <w:keepLines w:val="0"/>
              <w:pageBreakBefore w:val="0"/>
              <w:spacing w:line="360" w:lineRule="auto"/>
              <w:ind w:firstLine="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2.1</w:t>
            </w:r>
          </w:p>
        </w:tc>
        <w:tc>
          <w:tcPr>
            <w:tcW w:w="558" w:type="pct"/>
            <w:noWrap w:val="0"/>
            <w:vAlign w:val="center"/>
          </w:tcPr>
          <w:p w14:paraId="532F3478">
            <w:pPr>
              <w:keepNext w:val="0"/>
              <w:keepLines w:val="0"/>
              <w:pageBreakBefore w:val="0"/>
              <w:spacing w:line="360" w:lineRule="auto"/>
              <w:ind w:firstLine="0"/>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业绩</w:t>
            </w:r>
          </w:p>
        </w:tc>
        <w:tc>
          <w:tcPr>
            <w:tcW w:w="3421" w:type="pct"/>
            <w:noWrap w:val="0"/>
            <w:vAlign w:val="center"/>
          </w:tcPr>
          <w:p w14:paraId="06243CB8">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lang w:val="zh-CN" w:eastAsia="zh-CN"/>
              </w:rPr>
              <w:t>供应商自2024年1月1日起至今承担过水质在线分析仪或水质自动监测站运维类似业绩的，每提供一份得2分，满分4分。</w:t>
            </w:r>
          </w:p>
          <w:p w14:paraId="61794458">
            <w:pPr>
              <w:keepNext w:val="0"/>
              <w:keepLines w:val="0"/>
              <w:pageBreakBefore w:val="0"/>
              <w:spacing w:line="240" w:lineRule="auto"/>
              <w:ind w:firstLine="0"/>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en-US" w:eastAsia="zh-CN"/>
              </w:rPr>
              <w:t>2.</w:t>
            </w:r>
            <w:r>
              <w:rPr>
                <w:rFonts w:hint="eastAsia" w:ascii="宋体" w:hAnsi="宋体" w:eastAsia="宋体" w:cs="宋体"/>
                <w:b w:val="0"/>
                <w:bCs/>
                <w:sz w:val="21"/>
                <w:szCs w:val="21"/>
                <w:lang w:val="zh-CN" w:eastAsia="zh-CN"/>
              </w:rPr>
              <w:t>供应商自2024年1月1日起至今承担过环境类平台运维类似业绩的，每提供一份得2分，满分4分。</w:t>
            </w:r>
          </w:p>
          <w:p w14:paraId="4795D362">
            <w:pPr>
              <w:keepNext w:val="0"/>
              <w:keepLines w:val="0"/>
              <w:pageBreakBefore w:val="0"/>
              <w:spacing w:line="240" w:lineRule="auto"/>
              <w:ind w:firstLine="0"/>
              <w:rPr>
                <w:rFonts w:hint="eastAsia" w:ascii="宋体" w:hAnsi="宋体" w:eastAsia="宋体" w:cs="宋体"/>
                <w:b/>
                <w:bCs w:val="0"/>
                <w:sz w:val="24"/>
                <w:szCs w:val="24"/>
                <w:lang w:val="zh-CN" w:eastAsia="zh-CN"/>
              </w:rPr>
            </w:pPr>
            <w:r>
              <w:rPr>
                <w:rFonts w:hint="eastAsia" w:ascii="宋体" w:hAnsi="宋体" w:eastAsia="宋体" w:cs="宋体"/>
                <w:b w:val="0"/>
                <w:bCs/>
                <w:sz w:val="21"/>
                <w:szCs w:val="21"/>
                <w:lang w:val="zh-CN" w:eastAsia="zh-CN"/>
              </w:rPr>
              <w:t>（以委托合同签订时间为准，同一合同不得重复计分，提供有效的合同原件扫描件并加盖供应商公章，不提供不得分）。</w:t>
            </w:r>
          </w:p>
        </w:tc>
        <w:tc>
          <w:tcPr>
            <w:tcW w:w="522" w:type="pct"/>
            <w:noWrap w:val="0"/>
            <w:vAlign w:val="center"/>
          </w:tcPr>
          <w:p w14:paraId="73945E77">
            <w:pPr>
              <w:keepNext w:val="0"/>
              <w:keepLines w:val="0"/>
              <w:pageBreakBefore w:val="0"/>
              <w:spacing w:line="360" w:lineRule="auto"/>
              <w:ind w:firstLine="0"/>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8分</w:t>
            </w:r>
          </w:p>
        </w:tc>
      </w:tr>
      <w:tr w14:paraId="53CF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497" w:type="pct"/>
            <w:noWrap w:val="0"/>
            <w:vAlign w:val="center"/>
          </w:tcPr>
          <w:p w14:paraId="595422AA">
            <w:pPr>
              <w:keepNext w:val="0"/>
              <w:keepLines w:val="0"/>
              <w:pageBreakBefore w:val="0"/>
              <w:spacing w:line="360" w:lineRule="auto"/>
              <w:ind w:firstLine="0"/>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2.2</w:t>
            </w:r>
          </w:p>
        </w:tc>
        <w:tc>
          <w:tcPr>
            <w:tcW w:w="558" w:type="pct"/>
            <w:noWrap w:val="0"/>
            <w:vAlign w:val="top"/>
          </w:tcPr>
          <w:p w14:paraId="330445F4">
            <w:pPr>
              <w:keepNext w:val="0"/>
              <w:keepLines w:val="0"/>
              <w:pageBreakBefore w:val="0"/>
              <w:spacing w:line="360" w:lineRule="auto"/>
              <w:ind w:firstLine="0"/>
              <w:rPr>
                <w:rFonts w:hint="eastAsia" w:ascii="宋体" w:hAnsi="宋体" w:cs="宋体"/>
                <w:bCs/>
                <w:sz w:val="24"/>
                <w:szCs w:val="24"/>
                <w:lang w:val="en-US" w:eastAsia="zh-CN"/>
              </w:rPr>
            </w:pPr>
          </w:p>
          <w:p w14:paraId="6679B431">
            <w:pPr>
              <w:keepNext w:val="0"/>
              <w:keepLines w:val="0"/>
              <w:pageBreakBefore w:val="0"/>
              <w:spacing w:line="360" w:lineRule="auto"/>
              <w:ind w:firstLine="0"/>
              <w:rPr>
                <w:rFonts w:hint="default" w:ascii="宋体" w:hAnsi="宋体" w:eastAsia="宋体" w:cs="宋体"/>
                <w:bCs/>
                <w:sz w:val="24"/>
                <w:szCs w:val="24"/>
                <w:lang w:val="en-US" w:eastAsia="zh-CN"/>
              </w:rPr>
            </w:pPr>
            <w:r>
              <w:rPr>
                <w:rFonts w:hint="eastAsia" w:ascii="宋体" w:hAnsi="宋体" w:cs="宋体"/>
                <w:bCs/>
                <w:sz w:val="24"/>
                <w:szCs w:val="24"/>
                <w:lang w:val="en-US" w:eastAsia="zh-CN"/>
              </w:rPr>
              <w:t>综合实力</w:t>
            </w:r>
          </w:p>
        </w:tc>
        <w:tc>
          <w:tcPr>
            <w:tcW w:w="3421" w:type="pct"/>
            <w:noWrap w:val="0"/>
            <w:vAlign w:val="center"/>
          </w:tcPr>
          <w:p w14:paraId="5C03303C">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zh-CN" w:eastAsia="zh-CN"/>
              </w:rPr>
              <w:t>供应商具有地表水水质自动监测站运营服务能力证书的得3分，本项最高得3分。</w:t>
            </w:r>
          </w:p>
          <w:p w14:paraId="0E9DF413">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zh-CN" w:eastAsia="zh-CN"/>
              </w:rPr>
              <w:t>供应商具有ITSS信息技术服务运行维护标准符合性证书的得3分，本项最高得3分。</w:t>
            </w:r>
          </w:p>
          <w:p w14:paraId="09F1BED2">
            <w:pPr>
              <w:keepNext w:val="0"/>
              <w:keepLines w:val="0"/>
              <w:pageBreakBefore w:val="0"/>
              <w:spacing w:line="240" w:lineRule="auto"/>
              <w:rPr>
                <w:rFonts w:hint="eastAsia" w:ascii="宋体" w:hAnsi="宋体" w:eastAsia="宋体" w:cs="宋体"/>
                <w:b/>
                <w:bCs w:val="0"/>
                <w:sz w:val="24"/>
                <w:szCs w:val="24"/>
                <w:lang w:val="zh-CN" w:eastAsia="zh-CN"/>
              </w:rPr>
            </w:pPr>
            <w:r>
              <w:rPr>
                <w:rFonts w:hint="eastAsia" w:ascii="宋体" w:hAnsi="宋体" w:eastAsia="宋体" w:cs="宋体"/>
                <w:b w:val="0"/>
                <w:bCs/>
                <w:sz w:val="21"/>
                <w:szCs w:val="21"/>
                <w:lang w:val="zh-CN" w:eastAsia="zh-CN"/>
              </w:rPr>
              <w:t>注：提供有效期内相关证书原件扫描件并加盖供应商公章，不提供不得分。</w:t>
            </w:r>
          </w:p>
        </w:tc>
        <w:tc>
          <w:tcPr>
            <w:tcW w:w="522" w:type="pct"/>
            <w:noWrap w:val="0"/>
            <w:vAlign w:val="center"/>
          </w:tcPr>
          <w:p w14:paraId="357A3466">
            <w:pPr>
              <w:keepNext w:val="0"/>
              <w:keepLines w:val="0"/>
              <w:pageBreakBefore w:val="0"/>
              <w:spacing w:line="360" w:lineRule="auto"/>
              <w:ind w:firstLine="0"/>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6分</w:t>
            </w:r>
          </w:p>
        </w:tc>
      </w:tr>
      <w:tr w14:paraId="397A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497" w:type="pct"/>
            <w:noWrap w:val="0"/>
            <w:vAlign w:val="center"/>
          </w:tcPr>
          <w:p w14:paraId="5BE10AFA">
            <w:pPr>
              <w:keepNext w:val="0"/>
              <w:keepLines w:val="0"/>
              <w:pageBreakBefore w:val="0"/>
              <w:spacing w:line="360" w:lineRule="auto"/>
              <w:ind w:firstLine="0"/>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2.3</w:t>
            </w:r>
          </w:p>
        </w:tc>
        <w:tc>
          <w:tcPr>
            <w:tcW w:w="558" w:type="pct"/>
            <w:noWrap w:val="0"/>
            <w:vAlign w:val="top"/>
          </w:tcPr>
          <w:p w14:paraId="01A9790E">
            <w:pPr>
              <w:keepNext w:val="0"/>
              <w:keepLines w:val="0"/>
              <w:pageBreakBefore w:val="0"/>
              <w:spacing w:line="360" w:lineRule="auto"/>
              <w:ind w:firstLine="0"/>
              <w:rPr>
                <w:rFonts w:hint="eastAsia" w:ascii="宋体" w:hAnsi="宋体" w:eastAsia="宋体" w:cs="宋体"/>
                <w:b w:val="0"/>
                <w:bCs w:val="0"/>
                <w:kern w:val="0"/>
                <w:sz w:val="24"/>
                <w:szCs w:val="24"/>
                <w:highlight w:val="none"/>
                <w:lang w:val="zh-CN"/>
              </w:rPr>
            </w:pPr>
          </w:p>
          <w:p w14:paraId="674FC1AF">
            <w:pPr>
              <w:keepNext w:val="0"/>
              <w:keepLines w:val="0"/>
              <w:pageBreakBefore w:val="0"/>
              <w:spacing w:line="360" w:lineRule="auto"/>
              <w:ind w:firstLine="0"/>
              <w:rPr>
                <w:rFonts w:hint="eastAsia" w:ascii="宋体" w:hAnsi="宋体" w:eastAsia="宋体" w:cs="宋体"/>
                <w:b w:val="0"/>
                <w:bCs w:val="0"/>
                <w:kern w:val="0"/>
                <w:sz w:val="24"/>
                <w:szCs w:val="24"/>
                <w:highlight w:val="none"/>
                <w:lang w:val="zh-CN"/>
              </w:rPr>
            </w:pPr>
          </w:p>
          <w:p w14:paraId="2322CA58">
            <w:pPr>
              <w:keepNext w:val="0"/>
              <w:keepLines w:val="0"/>
              <w:pageBreakBefore w:val="0"/>
              <w:spacing w:line="360" w:lineRule="auto"/>
              <w:ind w:firstLine="0"/>
              <w:rPr>
                <w:rFonts w:hint="eastAsia" w:ascii="宋体" w:hAnsi="宋体" w:eastAsia="宋体" w:cs="宋体"/>
                <w:bCs/>
                <w:sz w:val="24"/>
                <w:szCs w:val="24"/>
              </w:rPr>
            </w:pPr>
            <w:r>
              <w:rPr>
                <w:rFonts w:hint="eastAsia" w:ascii="宋体" w:hAnsi="宋体" w:eastAsia="宋体" w:cs="宋体"/>
                <w:b w:val="0"/>
                <w:bCs w:val="0"/>
                <w:kern w:val="0"/>
                <w:sz w:val="24"/>
                <w:szCs w:val="24"/>
                <w:highlight w:val="none"/>
                <w:lang w:val="zh-CN"/>
              </w:rPr>
              <w:t>项目组成员</w:t>
            </w:r>
          </w:p>
        </w:tc>
        <w:tc>
          <w:tcPr>
            <w:tcW w:w="3421" w:type="pct"/>
            <w:noWrap w:val="0"/>
            <w:vAlign w:val="center"/>
          </w:tcPr>
          <w:p w14:paraId="74F90BF9">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zh-CN" w:eastAsia="zh-CN"/>
              </w:rPr>
              <w:t>1、为本项目配备的项目</w:t>
            </w:r>
            <w:r>
              <w:rPr>
                <w:rFonts w:hint="eastAsia" w:ascii="宋体" w:hAnsi="宋体" w:eastAsia="宋体" w:cs="宋体"/>
                <w:b w:val="0"/>
                <w:bCs/>
                <w:sz w:val="21"/>
                <w:szCs w:val="21"/>
                <w:lang w:val="en-US" w:eastAsia="zh-CN"/>
              </w:rPr>
              <w:t>总协调人</w:t>
            </w:r>
            <w:r>
              <w:rPr>
                <w:rFonts w:hint="eastAsia" w:ascii="宋体" w:hAnsi="宋体" w:eastAsia="宋体" w:cs="宋体"/>
                <w:b w:val="0"/>
                <w:bCs/>
                <w:sz w:val="21"/>
                <w:szCs w:val="21"/>
                <w:lang w:val="zh-CN" w:eastAsia="zh-CN"/>
              </w:rPr>
              <w:t>应具有较强的综合管理能力和专业技术背景，具有电子信息工程中级及以上职称、生态环境工程中级及以上职称、信息安全保障人员认证-安全运维，每有1项得2分，最高得6分，未提供不得分。</w:t>
            </w:r>
          </w:p>
          <w:p w14:paraId="5BE6FF39">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zh-CN" w:eastAsia="zh-CN"/>
              </w:rPr>
              <w:t>2、为本项目配备的</w:t>
            </w:r>
            <w:r>
              <w:rPr>
                <w:rFonts w:hint="eastAsia" w:ascii="宋体" w:hAnsi="宋体" w:eastAsia="宋体" w:cs="宋体"/>
                <w:b w:val="0"/>
                <w:bCs/>
                <w:sz w:val="21"/>
                <w:szCs w:val="21"/>
                <w:lang w:val="en-US" w:eastAsia="zh-CN"/>
              </w:rPr>
              <w:t>技术</w:t>
            </w:r>
            <w:r>
              <w:rPr>
                <w:rFonts w:hint="eastAsia" w:ascii="宋体" w:hAnsi="宋体" w:eastAsia="宋体" w:cs="宋体"/>
                <w:b w:val="0"/>
                <w:bCs/>
                <w:sz w:val="21"/>
                <w:szCs w:val="21"/>
                <w:lang w:val="zh-CN" w:eastAsia="zh-CN"/>
              </w:rPr>
              <w:t>负责人具备生态环境工程</w:t>
            </w:r>
            <w:r>
              <w:rPr>
                <w:rFonts w:hint="eastAsia" w:ascii="宋体" w:hAnsi="宋体" w:eastAsia="宋体" w:cs="宋体"/>
                <w:b w:val="0"/>
                <w:bCs/>
                <w:sz w:val="21"/>
                <w:szCs w:val="21"/>
                <w:lang w:val="en-US" w:eastAsia="zh-CN"/>
              </w:rPr>
              <w:t>高级及以上</w:t>
            </w:r>
            <w:r>
              <w:rPr>
                <w:rFonts w:hint="eastAsia" w:ascii="宋体" w:hAnsi="宋体" w:eastAsia="宋体" w:cs="宋体"/>
                <w:b w:val="0"/>
                <w:bCs/>
                <w:sz w:val="21"/>
                <w:szCs w:val="21"/>
                <w:lang w:val="zh-CN" w:eastAsia="zh-CN"/>
              </w:rPr>
              <w:t>职称（</w:t>
            </w:r>
            <w:r>
              <w:rPr>
                <w:rFonts w:hint="eastAsia" w:ascii="宋体" w:hAnsi="宋体" w:eastAsia="宋体" w:cs="宋体"/>
                <w:b w:val="0"/>
                <w:bCs/>
                <w:sz w:val="21"/>
                <w:szCs w:val="21"/>
                <w:lang w:val="en-US" w:eastAsia="zh-CN"/>
              </w:rPr>
              <w:t>含以上</w:t>
            </w:r>
            <w:r>
              <w:rPr>
                <w:rFonts w:hint="eastAsia" w:ascii="宋体" w:hAnsi="宋体" w:eastAsia="宋体" w:cs="宋体"/>
                <w:b w:val="0"/>
                <w:bCs/>
                <w:sz w:val="21"/>
                <w:szCs w:val="21"/>
                <w:lang w:val="zh-CN" w:eastAsia="zh-CN"/>
              </w:rPr>
              <w:t>）、信息安全保障人员认证-安全运维，每有1项得</w:t>
            </w:r>
            <w:r>
              <w:rPr>
                <w:rFonts w:hint="eastAsia" w:ascii="宋体" w:hAnsi="宋体" w:eastAsia="宋体" w:cs="宋体"/>
                <w:b w:val="0"/>
                <w:bCs/>
                <w:sz w:val="21"/>
                <w:szCs w:val="21"/>
                <w:lang w:val="en-US" w:eastAsia="zh-CN"/>
              </w:rPr>
              <w:t>2</w:t>
            </w:r>
            <w:r>
              <w:rPr>
                <w:rFonts w:hint="eastAsia" w:ascii="宋体" w:hAnsi="宋体" w:eastAsia="宋体" w:cs="宋体"/>
                <w:b w:val="0"/>
                <w:bCs/>
                <w:sz w:val="21"/>
                <w:szCs w:val="21"/>
                <w:lang w:val="zh-CN" w:eastAsia="zh-CN"/>
              </w:rPr>
              <w:t>分，本项最高</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lang w:val="zh-CN" w:eastAsia="zh-CN"/>
              </w:rPr>
              <w:t>分，未提供不得分。</w:t>
            </w:r>
          </w:p>
          <w:p w14:paraId="1D18D1E2">
            <w:pPr>
              <w:keepNext w:val="0"/>
              <w:keepLines w:val="0"/>
              <w:pageBreakBefore w:val="0"/>
              <w:spacing w:line="240" w:lineRule="auto"/>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lang w:val="zh-CN" w:eastAsia="zh-CN"/>
              </w:rPr>
              <w:t>为本项目配备的项目组成人员（</w:t>
            </w:r>
            <w:r>
              <w:rPr>
                <w:rFonts w:hint="eastAsia" w:ascii="宋体" w:hAnsi="宋体" w:eastAsia="宋体" w:cs="宋体"/>
                <w:b w:val="0"/>
                <w:bCs/>
                <w:sz w:val="21"/>
                <w:szCs w:val="21"/>
                <w:lang w:val="en-US" w:eastAsia="zh-CN"/>
              </w:rPr>
              <w:t>除</w:t>
            </w:r>
            <w:r>
              <w:rPr>
                <w:rFonts w:hint="eastAsia" w:ascii="宋体" w:hAnsi="宋体" w:eastAsia="宋体" w:cs="宋体"/>
                <w:b w:val="0"/>
                <w:bCs/>
                <w:sz w:val="21"/>
                <w:szCs w:val="21"/>
                <w:lang w:val="zh-CN" w:eastAsia="zh-CN"/>
              </w:rPr>
              <w:t>项目</w:t>
            </w:r>
            <w:r>
              <w:rPr>
                <w:rFonts w:hint="eastAsia" w:ascii="宋体" w:hAnsi="宋体" w:eastAsia="宋体" w:cs="宋体"/>
                <w:b w:val="0"/>
                <w:bCs/>
                <w:sz w:val="21"/>
                <w:szCs w:val="21"/>
                <w:lang w:val="en-US" w:eastAsia="zh-CN"/>
              </w:rPr>
              <w:t>总协调人、技术</w:t>
            </w:r>
            <w:r>
              <w:rPr>
                <w:rFonts w:hint="eastAsia" w:ascii="宋体" w:hAnsi="宋体" w:eastAsia="宋体" w:cs="宋体"/>
                <w:b w:val="0"/>
                <w:bCs/>
                <w:sz w:val="21"/>
                <w:szCs w:val="21"/>
                <w:lang w:val="zh-CN" w:eastAsia="zh-CN"/>
              </w:rPr>
              <w:t>负责人</w:t>
            </w:r>
            <w:r>
              <w:rPr>
                <w:rFonts w:hint="eastAsia" w:ascii="宋体" w:hAnsi="宋体" w:eastAsia="宋体" w:cs="宋体"/>
                <w:b w:val="0"/>
                <w:bCs/>
                <w:sz w:val="21"/>
                <w:szCs w:val="21"/>
                <w:lang w:val="en-US" w:eastAsia="zh-CN"/>
              </w:rPr>
              <w:t>外</w:t>
            </w:r>
            <w:r>
              <w:rPr>
                <w:rFonts w:hint="eastAsia" w:ascii="宋体" w:hAnsi="宋体" w:eastAsia="宋体" w:cs="宋体"/>
                <w:b w:val="0"/>
                <w:bCs/>
                <w:sz w:val="21"/>
                <w:szCs w:val="21"/>
                <w:lang w:val="zh-CN" w:eastAsia="zh-CN"/>
              </w:rPr>
              <w:t>）具有生态环境工程</w:t>
            </w:r>
            <w:r>
              <w:rPr>
                <w:rFonts w:hint="eastAsia" w:ascii="宋体" w:hAnsi="宋体" w:eastAsia="宋体" w:cs="宋体"/>
                <w:b w:val="0"/>
                <w:bCs/>
                <w:sz w:val="21"/>
                <w:szCs w:val="21"/>
                <w:lang w:val="en-US" w:eastAsia="zh-CN"/>
              </w:rPr>
              <w:t>高级及以上</w:t>
            </w:r>
            <w:r>
              <w:rPr>
                <w:rFonts w:hint="eastAsia" w:ascii="宋体" w:hAnsi="宋体" w:eastAsia="宋体" w:cs="宋体"/>
                <w:b w:val="0"/>
                <w:bCs/>
                <w:sz w:val="21"/>
                <w:szCs w:val="21"/>
                <w:lang w:val="zh-CN" w:eastAsia="zh-CN"/>
              </w:rPr>
              <w:t>职称</w:t>
            </w:r>
            <w:r>
              <w:rPr>
                <w:rFonts w:hint="eastAsia" w:ascii="宋体" w:hAnsi="宋体" w:eastAsia="宋体" w:cs="宋体"/>
                <w:b w:val="0"/>
                <w:bCs/>
                <w:sz w:val="21"/>
                <w:szCs w:val="21"/>
                <w:lang w:val="en-US" w:eastAsia="zh-CN"/>
              </w:rPr>
              <w:t>、</w:t>
            </w:r>
            <w:r>
              <w:rPr>
                <w:rFonts w:hint="eastAsia" w:ascii="宋体" w:hAnsi="宋体" w:eastAsia="宋体" w:cs="宋体"/>
                <w:b w:val="0"/>
                <w:bCs/>
                <w:sz w:val="21"/>
                <w:szCs w:val="21"/>
                <w:lang w:val="zh-CN" w:eastAsia="zh-CN"/>
              </w:rPr>
              <w:t>地表水环境质量自动监测技术与运维管理培训</w:t>
            </w:r>
            <w:r>
              <w:rPr>
                <w:rFonts w:hint="eastAsia" w:ascii="宋体" w:hAnsi="宋体" w:eastAsia="宋体" w:cs="宋体"/>
                <w:b w:val="0"/>
                <w:bCs/>
                <w:sz w:val="21"/>
                <w:szCs w:val="21"/>
                <w:lang w:val="en-US" w:eastAsia="zh-CN"/>
              </w:rPr>
              <w:t>相关的</w:t>
            </w:r>
            <w:r>
              <w:rPr>
                <w:rFonts w:hint="eastAsia" w:ascii="宋体" w:hAnsi="宋体" w:eastAsia="宋体" w:cs="宋体"/>
                <w:b w:val="0"/>
                <w:bCs/>
                <w:sz w:val="21"/>
                <w:szCs w:val="21"/>
                <w:lang w:val="zh-CN" w:eastAsia="zh-CN"/>
              </w:rPr>
              <w:t>运维上岗证书、IT服务工程师、网络工程师、注册信息安全工程师（CISE）、</w:t>
            </w:r>
            <w:r>
              <w:rPr>
                <w:rFonts w:hint="eastAsia" w:ascii="宋体" w:hAnsi="宋体" w:eastAsia="宋体" w:cs="宋体"/>
                <w:b w:val="0"/>
                <w:bCs/>
                <w:sz w:val="21"/>
                <w:szCs w:val="21"/>
                <w:lang w:val="en-US" w:eastAsia="zh-CN"/>
              </w:rPr>
              <w:t>信息系统项目管理师（高级）证书</w:t>
            </w:r>
            <w:r>
              <w:rPr>
                <w:rFonts w:hint="eastAsia" w:ascii="宋体" w:hAnsi="宋体" w:eastAsia="宋体" w:cs="宋体"/>
                <w:b w:val="0"/>
                <w:bCs/>
                <w:sz w:val="21"/>
                <w:szCs w:val="21"/>
                <w:lang w:val="zh-CN" w:eastAsia="zh-CN"/>
              </w:rPr>
              <w:t>，每有1项得</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lang w:val="zh-CN" w:eastAsia="zh-CN"/>
              </w:rPr>
              <w:t>分，最高得</w:t>
            </w:r>
            <w:r>
              <w:rPr>
                <w:rFonts w:hint="eastAsia" w:ascii="宋体" w:hAnsi="宋体" w:eastAsia="宋体" w:cs="宋体"/>
                <w:b w:val="0"/>
                <w:bCs/>
                <w:sz w:val="21"/>
                <w:szCs w:val="21"/>
                <w:lang w:val="en-US" w:eastAsia="zh-CN"/>
              </w:rPr>
              <w:t>6</w:t>
            </w:r>
            <w:r>
              <w:rPr>
                <w:rFonts w:hint="eastAsia" w:ascii="宋体" w:hAnsi="宋体" w:eastAsia="宋体" w:cs="宋体"/>
                <w:b w:val="0"/>
                <w:bCs/>
                <w:sz w:val="21"/>
                <w:szCs w:val="21"/>
                <w:lang w:val="zh-CN" w:eastAsia="zh-CN"/>
              </w:rPr>
              <w:t>分。</w:t>
            </w:r>
          </w:p>
          <w:p w14:paraId="59480936">
            <w:pPr>
              <w:keepNext w:val="0"/>
              <w:keepLines w:val="0"/>
              <w:pageBreakBefore w:val="0"/>
              <w:spacing w:line="240" w:lineRule="auto"/>
              <w:rPr>
                <w:rFonts w:hint="eastAsia" w:ascii="宋体" w:hAnsi="宋体" w:cs="宋体"/>
                <w:b/>
                <w:bCs w:val="0"/>
                <w:sz w:val="24"/>
                <w:szCs w:val="24"/>
                <w:lang w:val="en-US" w:eastAsia="zh-CN"/>
              </w:rPr>
            </w:pPr>
            <w:r>
              <w:rPr>
                <w:rFonts w:hint="eastAsia" w:ascii="宋体" w:hAnsi="宋体" w:eastAsia="宋体" w:cs="宋体"/>
                <w:b w:val="0"/>
                <w:bCs/>
                <w:sz w:val="21"/>
                <w:szCs w:val="21"/>
                <w:lang w:val="zh-CN" w:eastAsia="zh-CN"/>
              </w:rPr>
              <w:t>注：上述条款需提供拟投入人员配备表，相应的证书</w:t>
            </w:r>
            <w:r>
              <w:rPr>
                <w:rFonts w:hint="eastAsia" w:ascii="宋体" w:hAnsi="宋体" w:eastAsia="宋体" w:cs="宋体"/>
                <w:b w:val="0"/>
                <w:bCs/>
                <w:sz w:val="21"/>
                <w:szCs w:val="21"/>
                <w:lang w:val="en-US" w:eastAsia="zh-CN"/>
              </w:rPr>
              <w:t>原件扫描件</w:t>
            </w:r>
            <w:r>
              <w:rPr>
                <w:rFonts w:hint="eastAsia" w:ascii="宋体" w:hAnsi="宋体" w:eastAsia="宋体" w:cs="宋体"/>
                <w:b w:val="0"/>
                <w:bCs/>
                <w:sz w:val="21"/>
                <w:szCs w:val="21"/>
                <w:lang w:val="zh-CN" w:eastAsia="zh-CN"/>
              </w:rPr>
              <w:t>并加盖投标人公章、投标单位为其缴纳的近三个月任意一个月（不含投标当月）的社保证明材料并加盖供应商公章。</w:t>
            </w:r>
          </w:p>
        </w:tc>
        <w:tc>
          <w:tcPr>
            <w:tcW w:w="522" w:type="pct"/>
            <w:noWrap w:val="0"/>
            <w:vAlign w:val="center"/>
          </w:tcPr>
          <w:p w14:paraId="59D8F013">
            <w:pPr>
              <w:keepNext w:val="0"/>
              <w:keepLines w:val="0"/>
              <w:pageBreakBefore w:val="0"/>
              <w:spacing w:line="360" w:lineRule="auto"/>
              <w:ind w:firstLine="0"/>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16分</w:t>
            </w:r>
          </w:p>
        </w:tc>
      </w:tr>
      <w:tr w14:paraId="3481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497" w:type="pct"/>
            <w:noWrap w:val="0"/>
            <w:vAlign w:val="center"/>
          </w:tcPr>
          <w:p w14:paraId="33246CC2">
            <w:pPr>
              <w:keepNext w:val="0"/>
              <w:keepLines w:val="0"/>
              <w:pageBreakBefore w:val="0"/>
              <w:widowControl/>
              <w:spacing w:line="360" w:lineRule="auto"/>
              <w:ind w:firstLine="0"/>
              <w:jc w:val="center"/>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3</w:t>
            </w:r>
          </w:p>
        </w:tc>
        <w:tc>
          <w:tcPr>
            <w:tcW w:w="4502" w:type="pct"/>
            <w:gridSpan w:val="3"/>
            <w:noWrap w:val="0"/>
            <w:vAlign w:val="center"/>
          </w:tcPr>
          <w:p w14:paraId="23CB3CD5">
            <w:pPr>
              <w:keepNext w:val="0"/>
              <w:keepLines w:val="0"/>
              <w:pageBreakBefore w:val="0"/>
              <w:widowControl/>
              <w:spacing w:line="360" w:lineRule="auto"/>
              <w:ind w:firstLine="0"/>
              <w:jc w:val="left"/>
              <w:rPr>
                <w:rFonts w:hint="default" w:ascii="宋体" w:hAnsi="宋体" w:eastAsia="宋体" w:cs="宋体"/>
                <w:b/>
                <w:bCs w:val="0"/>
                <w:sz w:val="24"/>
                <w:szCs w:val="24"/>
                <w:lang w:val="en-US" w:eastAsia="zh-CN"/>
              </w:rPr>
            </w:pPr>
            <w:r>
              <w:rPr>
                <w:rFonts w:hint="eastAsia" w:ascii="宋体" w:hAnsi="宋体" w:cs="宋体"/>
                <w:b/>
                <w:bCs w:val="0"/>
                <w:sz w:val="24"/>
                <w:szCs w:val="24"/>
                <w:lang w:val="en-US" w:eastAsia="zh-CN"/>
              </w:rPr>
              <w:t>技术方案 43分</w:t>
            </w:r>
          </w:p>
        </w:tc>
      </w:tr>
      <w:tr w14:paraId="6636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497" w:type="pct"/>
            <w:noWrap w:val="0"/>
            <w:vAlign w:val="center"/>
          </w:tcPr>
          <w:p w14:paraId="15B52B9F">
            <w:pPr>
              <w:keepNext w:val="0"/>
              <w:keepLines w:val="0"/>
              <w:pageBreakBefore w:val="0"/>
              <w:spacing w:line="360" w:lineRule="auto"/>
              <w:ind w:firstLine="0"/>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3.1</w:t>
            </w:r>
          </w:p>
        </w:tc>
        <w:tc>
          <w:tcPr>
            <w:tcW w:w="558" w:type="pct"/>
            <w:noWrap w:val="0"/>
            <w:vAlign w:val="center"/>
          </w:tcPr>
          <w:p w14:paraId="2DDEE35E">
            <w:pPr>
              <w:keepNext w:val="0"/>
              <w:keepLines w:val="0"/>
              <w:pageBreakBefore w:val="0"/>
              <w:spacing w:line="360" w:lineRule="auto"/>
              <w:ind w:firstLine="0"/>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kern w:val="0"/>
                <w:sz w:val="24"/>
                <w:szCs w:val="24"/>
                <w:highlight w:val="none"/>
                <w:lang w:val="zh-CN"/>
              </w:rPr>
              <w:t>技术方案</w:t>
            </w:r>
          </w:p>
        </w:tc>
        <w:tc>
          <w:tcPr>
            <w:tcW w:w="3421" w:type="pct"/>
            <w:noWrap w:val="0"/>
            <w:vAlign w:val="center"/>
          </w:tcPr>
          <w:p w14:paraId="7466EA6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kern w:val="2"/>
                <w:sz w:val="24"/>
                <w:szCs w:val="24"/>
                <w:lang w:val="en-US" w:eastAsia="zh-CN" w:bidi="ar-SA"/>
              </w:rPr>
              <w:t>1</w:t>
            </w:r>
            <w:r>
              <w:rPr>
                <w:rFonts w:hint="eastAsia" w:ascii="宋体" w:hAnsi="宋体" w:eastAsia="宋体" w:cs="宋体"/>
                <w:b w:val="0"/>
                <w:bCs w:val="0"/>
                <w:color w:val="auto"/>
                <w:kern w:val="2"/>
                <w:sz w:val="21"/>
                <w:szCs w:val="21"/>
                <w:lang w:val="en-US" w:eastAsia="zh-CN" w:bidi="ar-SA"/>
              </w:rPr>
              <w:t>.</w:t>
            </w:r>
            <w:r>
              <w:rPr>
                <w:rFonts w:hint="eastAsia" w:ascii="宋体" w:hAnsi="宋体" w:eastAsia="宋体" w:cs="宋体"/>
                <w:b w:val="0"/>
                <w:bCs w:val="0"/>
                <w:color w:val="auto"/>
                <w:sz w:val="21"/>
                <w:szCs w:val="21"/>
                <w:highlight w:val="none"/>
                <w:lang w:val="en-US" w:eastAsia="zh-CN" w:bidi="ar"/>
              </w:rPr>
              <w:t>总体运维方案</w:t>
            </w:r>
            <w:r>
              <w:rPr>
                <w:rFonts w:hint="eastAsia" w:ascii="宋体" w:hAnsi="宋体" w:eastAsia="宋体" w:cs="宋体"/>
                <w:b w:val="0"/>
                <w:bCs w:val="0"/>
                <w:color w:val="auto"/>
                <w:sz w:val="21"/>
                <w:szCs w:val="21"/>
                <w:highlight w:val="none"/>
                <w:lang w:val="en-US" w:eastAsia="zh-CN"/>
              </w:rPr>
              <w:t>（6分）</w:t>
            </w:r>
          </w:p>
          <w:p w14:paraId="28E9D055">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firstLine="420" w:firstLineChars="200"/>
              <w:jc w:val="left"/>
              <w:textAlignment w:val="auto"/>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根据响应供应商提供的总体运维方案，包括不限于运维工作、物资配置、人员配置管理计划、服务响应时间等进行综合评分，方案具有完整性、针对性、规范性和实际操作的得6分；有总体运维方案但方案内容不充实得3分；方案实际操作性不强的得1分；其余不得分。</w:t>
            </w:r>
          </w:p>
          <w:p w14:paraId="25C65A1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0" w:leftChars="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kern w:val="2"/>
                <w:sz w:val="21"/>
                <w:szCs w:val="21"/>
                <w:lang w:val="en-US" w:eastAsia="zh-CN" w:bidi="ar-SA"/>
              </w:rPr>
              <w:t>2.</w:t>
            </w:r>
            <w:r>
              <w:rPr>
                <w:rFonts w:hint="eastAsia" w:ascii="宋体" w:hAnsi="宋体" w:eastAsia="宋体" w:cs="宋体"/>
                <w:b w:val="0"/>
                <w:bCs w:val="0"/>
                <w:color w:val="auto"/>
                <w:sz w:val="21"/>
                <w:szCs w:val="21"/>
                <w:highlight w:val="none"/>
                <w:lang w:val="en-US" w:eastAsia="zh-CN" w:bidi="ar"/>
              </w:rPr>
              <w:t>监测设备运维技术方案</w:t>
            </w:r>
            <w:r>
              <w:rPr>
                <w:rFonts w:hint="eastAsia" w:ascii="宋体" w:hAnsi="宋体" w:eastAsia="宋体" w:cs="宋体"/>
                <w:b w:val="0"/>
                <w:bCs w:val="0"/>
                <w:color w:val="auto"/>
                <w:sz w:val="21"/>
                <w:szCs w:val="21"/>
                <w:highlight w:val="none"/>
                <w:lang w:val="en-US" w:eastAsia="zh-CN"/>
              </w:rPr>
              <w:t>（6分）</w:t>
            </w:r>
          </w:p>
          <w:p w14:paraId="4D36E2E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firstLine="420" w:firstLineChars="200"/>
              <w:jc w:val="left"/>
              <w:textAlignment w:val="auto"/>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根据响应供应商提供的监测设备运维技术方案进行综合评分（包括不限于运维内容、日常维护计划、设备故障检修、备件更换等），方案具有完整性、针对性、规范性和实际操作的可行性得6分；方案内容不充实得3分；方案实际操作性不强的得1分；其余不得分。</w:t>
            </w:r>
          </w:p>
          <w:p w14:paraId="18AD5DFB">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3.软件平台运维技术方案</w:t>
            </w:r>
            <w:r>
              <w:rPr>
                <w:rFonts w:hint="eastAsia" w:ascii="宋体" w:hAnsi="宋体" w:eastAsia="宋体" w:cs="宋体"/>
                <w:b w:val="0"/>
                <w:bCs w:val="0"/>
                <w:color w:val="auto"/>
                <w:sz w:val="21"/>
                <w:szCs w:val="21"/>
                <w:highlight w:val="none"/>
                <w:lang w:val="en-US" w:eastAsia="zh-CN"/>
              </w:rPr>
              <w:t>（6分）</w:t>
            </w:r>
          </w:p>
          <w:p w14:paraId="325BAAA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根据响应供应商提供的软件平台运维技术方案进行综合评分（包括不限于对现有环境监控软件平台的调研：</w:t>
            </w:r>
            <w:r>
              <w:rPr>
                <w:rFonts w:hint="eastAsia" w:ascii="宋体" w:hAnsi="宋体" w:eastAsia="宋体" w:cs="宋体"/>
                <w:b w:val="0"/>
                <w:bCs w:val="0"/>
                <w:kern w:val="0"/>
                <w:sz w:val="21"/>
                <w:szCs w:val="21"/>
                <w:highlight w:val="none"/>
                <w:lang w:val="en-US" w:eastAsia="zh-CN"/>
              </w:rPr>
              <w:t>系统整体概况、系统功能、部署环境等内容</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kern w:val="0"/>
                <w:sz w:val="21"/>
                <w:szCs w:val="21"/>
                <w:highlight w:val="none"/>
                <w:lang w:val="en-US" w:eastAsia="zh-CN"/>
              </w:rPr>
              <w:t>对本项目软件平台运维的重难点分析：项目的重难点及相对应的解决思路和解决措施</w:t>
            </w:r>
            <w:r>
              <w:rPr>
                <w:rFonts w:hint="eastAsia" w:ascii="宋体" w:hAnsi="宋体" w:eastAsia="宋体" w:cs="宋体"/>
                <w:b w:val="0"/>
                <w:bCs w:val="0"/>
                <w:color w:val="auto"/>
                <w:sz w:val="21"/>
                <w:szCs w:val="21"/>
                <w:highlight w:val="none"/>
                <w:lang w:val="en-US" w:eastAsia="zh-CN" w:bidi="ar"/>
              </w:rPr>
              <w:t>），方案具有完整性、针对性、规范性和实际操作的可行性得6分；方案内容不充实得3分；方案实际操作性不强的得1分；其余不得分。</w:t>
            </w:r>
          </w:p>
          <w:p w14:paraId="2E08CDC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0" w:leftChars="0" w:firstLine="0" w:firstLineChars="0"/>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4.应急处理预案（5分）</w:t>
            </w:r>
          </w:p>
          <w:p w14:paraId="1F951750">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firstLine="420" w:firstLineChars="200"/>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根据响应供应商提供的项目应急方案进行综合评分</w:t>
            </w:r>
            <w:r>
              <w:rPr>
                <w:rFonts w:hint="eastAsia" w:ascii="宋体" w:hAnsi="宋体" w:eastAsia="宋体" w:cs="宋体"/>
                <w:b w:val="0"/>
                <w:bCs w:val="0"/>
                <w:kern w:val="0"/>
                <w:sz w:val="21"/>
                <w:szCs w:val="21"/>
                <w:highlight w:val="none"/>
                <w:lang w:val="en-US" w:eastAsia="zh-CN"/>
              </w:rPr>
              <w:t>（包括但不限于应急管理制度、应急情景、应急措施及解决方案等内容）</w:t>
            </w:r>
            <w:r>
              <w:rPr>
                <w:rFonts w:hint="eastAsia" w:ascii="宋体" w:hAnsi="宋体" w:eastAsia="宋体" w:cs="宋体"/>
                <w:b w:val="0"/>
                <w:bCs w:val="0"/>
                <w:color w:val="auto"/>
                <w:sz w:val="21"/>
                <w:szCs w:val="21"/>
                <w:highlight w:val="none"/>
                <w:lang w:val="en-US" w:eastAsia="zh-CN" w:bidi="ar"/>
              </w:rPr>
              <w:t>，方案具有完整性、针对性、规范性和实际操作的可行性得5分；方案内容不充实得3分；方案实际操作性不强的得1分；其余不得分。</w:t>
            </w:r>
          </w:p>
          <w:p w14:paraId="1CDB678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5.故障处理方案（5分）</w:t>
            </w:r>
          </w:p>
          <w:p w14:paraId="795DA3DB">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firstLine="420" w:firstLineChars="200"/>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根据响应供应商提供的项目</w:t>
            </w:r>
            <w:r>
              <w:rPr>
                <w:rFonts w:hint="eastAsia" w:ascii="宋体" w:hAnsi="宋体" w:eastAsia="宋体" w:cs="宋体"/>
                <w:b w:val="0"/>
                <w:bCs w:val="0"/>
                <w:kern w:val="0"/>
                <w:sz w:val="21"/>
                <w:szCs w:val="21"/>
                <w:highlight w:val="none"/>
                <w:lang w:val="en-US" w:eastAsia="zh-CN"/>
              </w:rPr>
              <w:t>故障处理方案</w:t>
            </w:r>
            <w:r>
              <w:rPr>
                <w:rFonts w:hint="eastAsia" w:ascii="宋体" w:hAnsi="宋体" w:eastAsia="宋体" w:cs="宋体"/>
                <w:b w:val="0"/>
                <w:bCs w:val="0"/>
                <w:color w:val="auto"/>
                <w:sz w:val="21"/>
                <w:szCs w:val="21"/>
                <w:highlight w:val="none"/>
                <w:lang w:val="en-US" w:eastAsia="zh-CN" w:bidi="ar"/>
              </w:rPr>
              <w:t>进行综合评分</w:t>
            </w:r>
            <w:r>
              <w:rPr>
                <w:rFonts w:hint="eastAsia" w:ascii="宋体" w:hAnsi="宋体" w:eastAsia="宋体" w:cs="宋体"/>
                <w:b w:val="0"/>
                <w:bCs w:val="0"/>
                <w:kern w:val="0"/>
                <w:sz w:val="21"/>
                <w:szCs w:val="21"/>
                <w:highlight w:val="none"/>
                <w:lang w:val="en-US" w:eastAsia="zh-CN"/>
              </w:rPr>
              <w:t>（包括但不限于故障响应时间、故障维修服务等内容）</w:t>
            </w:r>
            <w:r>
              <w:rPr>
                <w:rFonts w:hint="eastAsia" w:ascii="宋体" w:hAnsi="宋体" w:eastAsia="宋体" w:cs="宋体"/>
                <w:b w:val="0"/>
                <w:bCs w:val="0"/>
                <w:color w:val="auto"/>
                <w:sz w:val="21"/>
                <w:szCs w:val="21"/>
                <w:highlight w:val="none"/>
                <w:lang w:val="en-US" w:eastAsia="zh-CN" w:bidi="ar"/>
              </w:rPr>
              <w:t>，方案具有完整性、针对性、规范性和实际操作的可行性得5分；方案内容不充实得3分；方案实际操作性不强的得1分；其余不得分。</w:t>
            </w:r>
          </w:p>
          <w:p w14:paraId="663958D1">
            <w:pPr>
              <w:keepNext w:val="0"/>
              <w:keepLines w:val="0"/>
              <w:pageBreakBefore w:val="0"/>
              <w:widowControl w:val="0"/>
              <w:numPr>
                <w:ilvl w:val="0"/>
                <w:numId w:val="4"/>
              </w:numPr>
              <w:kinsoku/>
              <w:wordWrap/>
              <w:overflowPunct/>
              <w:topLinePunct w:val="0"/>
              <w:autoSpaceDE/>
              <w:autoSpaceDN/>
              <w:bidi w:val="0"/>
              <w:adjustRightInd/>
              <w:snapToGrid w:val="0"/>
              <w:spacing w:beforeAutospacing="0" w:afterAutospacing="0" w:line="264" w:lineRule="auto"/>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运维质量保障措施方案（5分）</w:t>
            </w:r>
          </w:p>
          <w:p w14:paraId="56662BB5">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firstLine="420" w:firstLineChars="200"/>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根据响应供应商提供的项目</w:t>
            </w:r>
            <w:r>
              <w:rPr>
                <w:rFonts w:hint="eastAsia" w:ascii="宋体" w:hAnsi="宋体" w:eastAsia="宋体" w:cs="宋体"/>
                <w:b w:val="0"/>
                <w:bCs w:val="0"/>
                <w:kern w:val="0"/>
                <w:sz w:val="21"/>
                <w:szCs w:val="21"/>
                <w:highlight w:val="none"/>
                <w:lang w:val="en-US" w:eastAsia="zh-CN"/>
              </w:rPr>
              <w:t>运维质量保障措施方案</w:t>
            </w:r>
            <w:r>
              <w:rPr>
                <w:rFonts w:hint="eastAsia" w:ascii="宋体" w:hAnsi="宋体" w:eastAsia="宋体" w:cs="宋体"/>
                <w:b w:val="0"/>
                <w:bCs w:val="0"/>
                <w:color w:val="auto"/>
                <w:sz w:val="21"/>
                <w:szCs w:val="21"/>
                <w:highlight w:val="none"/>
                <w:lang w:val="en-US" w:eastAsia="zh-CN" w:bidi="ar"/>
              </w:rPr>
              <w:t>进行综合评分</w:t>
            </w:r>
            <w:r>
              <w:rPr>
                <w:rFonts w:hint="eastAsia" w:ascii="宋体" w:hAnsi="宋体" w:eastAsia="宋体" w:cs="宋体"/>
                <w:b w:val="0"/>
                <w:bCs w:val="0"/>
                <w:kern w:val="0"/>
                <w:sz w:val="21"/>
                <w:szCs w:val="21"/>
                <w:highlight w:val="none"/>
                <w:lang w:val="en-US" w:eastAsia="zh-CN"/>
              </w:rPr>
              <w:t>（包括但不限于质量保证目标、质量管理制度、质量管理措施、安全保密体系等内容）</w:t>
            </w:r>
            <w:r>
              <w:rPr>
                <w:rFonts w:hint="eastAsia" w:ascii="宋体" w:hAnsi="宋体" w:eastAsia="宋体" w:cs="宋体"/>
                <w:b w:val="0"/>
                <w:bCs w:val="0"/>
                <w:color w:val="auto"/>
                <w:sz w:val="21"/>
                <w:szCs w:val="21"/>
                <w:highlight w:val="none"/>
                <w:lang w:val="en-US" w:eastAsia="zh-CN" w:bidi="ar"/>
              </w:rPr>
              <w:t>，方案具有完整性、针对性、规范性和实际操作的可行性得5分；方案内容不充实得3分；方案实际操作性不强的得1分；其余不得分。</w:t>
            </w:r>
          </w:p>
          <w:p w14:paraId="325E256A">
            <w:pPr>
              <w:keepNext w:val="0"/>
              <w:keepLines w:val="0"/>
              <w:pageBreakBefore w:val="0"/>
              <w:widowControl w:val="0"/>
              <w:kinsoku/>
              <w:wordWrap/>
              <w:overflowPunct/>
              <w:topLinePunct w:val="0"/>
              <w:autoSpaceDE/>
              <w:autoSpaceDN/>
              <w:bidi w:val="0"/>
              <w:adjustRightInd/>
              <w:snapToGrid w:val="0"/>
              <w:spacing w:beforeAutospacing="0" w:afterAutospacing="0" w:line="264" w:lineRule="auto"/>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7、运维培训方案（5分）</w:t>
            </w:r>
          </w:p>
          <w:p w14:paraId="13B26BF5">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264" w:lineRule="auto"/>
              <w:ind w:leftChars="0"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b w:val="0"/>
                <w:bCs w:val="0"/>
                <w:color w:val="auto"/>
                <w:sz w:val="21"/>
                <w:szCs w:val="21"/>
                <w:highlight w:val="none"/>
                <w:lang w:val="en-US" w:eastAsia="zh-CN" w:bidi="ar"/>
              </w:rPr>
              <w:t>根据响应供应商提供的运维培训</w:t>
            </w:r>
            <w:r>
              <w:rPr>
                <w:rFonts w:hint="eastAsia" w:ascii="宋体" w:hAnsi="宋体" w:eastAsia="宋体" w:cs="宋体"/>
                <w:b w:val="0"/>
                <w:bCs w:val="0"/>
                <w:kern w:val="0"/>
                <w:sz w:val="21"/>
                <w:szCs w:val="21"/>
                <w:highlight w:val="none"/>
                <w:lang w:val="en-US" w:eastAsia="zh-CN"/>
              </w:rPr>
              <w:t>方案</w:t>
            </w:r>
            <w:r>
              <w:rPr>
                <w:rFonts w:hint="eastAsia" w:ascii="宋体" w:hAnsi="宋体" w:eastAsia="宋体" w:cs="宋体"/>
                <w:b w:val="0"/>
                <w:bCs w:val="0"/>
                <w:color w:val="auto"/>
                <w:sz w:val="21"/>
                <w:szCs w:val="21"/>
                <w:highlight w:val="none"/>
                <w:lang w:val="en-US" w:eastAsia="zh-CN" w:bidi="ar"/>
              </w:rPr>
              <w:t>进行综合评分</w:t>
            </w:r>
            <w:r>
              <w:rPr>
                <w:rFonts w:hint="eastAsia" w:ascii="宋体" w:hAnsi="宋体" w:eastAsia="宋体" w:cs="宋体"/>
                <w:b w:val="0"/>
                <w:bCs w:val="0"/>
                <w:kern w:val="0"/>
                <w:sz w:val="21"/>
                <w:szCs w:val="21"/>
                <w:highlight w:val="none"/>
                <w:lang w:val="en-US" w:eastAsia="zh-CN"/>
              </w:rPr>
              <w:t>（包括但不限于培训计划、培训内容、培训考核等内容）</w:t>
            </w:r>
            <w:r>
              <w:rPr>
                <w:rFonts w:hint="eastAsia" w:ascii="宋体" w:hAnsi="宋体" w:eastAsia="宋体" w:cs="宋体"/>
                <w:b w:val="0"/>
                <w:bCs w:val="0"/>
                <w:color w:val="auto"/>
                <w:sz w:val="21"/>
                <w:szCs w:val="21"/>
                <w:highlight w:val="none"/>
                <w:lang w:val="en-US" w:eastAsia="zh-CN" w:bidi="ar"/>
              </w:rPr>
              <w:t>，方案具有完整性、针对性、规范性和实际操作的可行性得5分；方案内容不充实得3分；方案实际操作性不强的得1分；其余不得分。</w:t>
            </w:r>
          </w:p>
          <w:p w14:paraId="2C2309E7">
            <w:pPr>
              <w:keepNext w:val="0"/>
              <w:keepLines w:val="0"/>
              <w:pageBreakBefore w:val="0"/>
              <w:widowControl w:val="0"/>
              <w:kinsoku/>
              <w:wordWrap/>
              <w:overflowPunct/>
              <w:topLinePunct w:val="0"/>
              <w:autoSpaceDE/>
              <w:autoSpaceDN/>
              <w:bidi w:val="0"/>
              <w:adjustRightInd/>
              <w:snapToGrid w:val="0"/>
              <w:spacing w:beforeAutospacing="0" w:afterAutospacing="0" w:line="264" w:lineRule="auto"/>
              <w:jc w:val="left"/>
              <w:textAlignment w:val="auto"/>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8、运维档案保管流程（5分）</w:t>
            </w:r>
          </w:p>
          <w:p w14:paraId="7C8E91D5">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1"/>
                <w:szCs w:val="21"/>
                <w:highlight w:val="none"/>
                <w:lang w:val="en-US" w:eastAsia="zh-CN" w:bidi="ar"/>
              </w:rPr>
              <w:t>根据响应供应商提供的项目运维档案保管流程</w:t>
            </w:r>
            <w:r>
              <w:rPr>
                <w:rFonts w:hint="eastAsia" w:ascii="宋体" w:hAnsi="宋体" w:eastAsia="宋体" w:cs="宋体"/>
                <w:b w:val="0"/>
                <w:bCs w:val="0"/>
                <w:kern w:val="0"/>
                <w:sz w:val="21"/>
                <w:szCs w:val="21"/>
                <w:highlight w:val="none"/>
                <w:lang w:val="en-US" w:eastAsia="zh-CN"/>
              </w:rPr>
              <w:t>措施方案</w:t>
            </w:r>
            <w:r>
              <w:rPr>
                <w:rFonts w:hint="eastAsia" w:ascii="宋体" w:hAnsi="宋体" w:eastAsia="宋体" w:cs="宋体"/>
                <w:b w:val="0"/>
                <w:bCs w:val="0"/>
                <w:color w:val="auto"/>
                <w:sz w:val="21"/>
                <w:szCs w:val="21"/>
                <w:highlight w:val="none"/>
                <w:lang w:val="en-US" w:eastAsia="zh-CN" w:bidi="ar"/>
              </w:rPr>
              <w:t>进行综合评分</w:t>
            </w:r>
            <w:r>
              <w:rPr>
                <w:rFonts w:hint="eastAsia" w:ascii="宋体" w:hAnsi="宋体" w:eastAsia="宋体" w:cs="宋体"/>
                <w:b w:val="0"/>
                <w:bCs w:val="0"/>
                <w:kern w:val="0"/>
                <w:sz w:val="21"/>
                <w:szCs w:val="21"/>
                <w:highlight w:val="none"/>
                <w:lang w:val="en-US" w:eastAsia="zh-CN"/>
              </w:rPr>
              <w:t>（包括但不限于档案管理制度、建档内容等内容）</w:t>
            </w:r>
            <w:r>
              <w:rPr>
                <w:rFonts w:hint="eastAsia" w:ascii="宋体" w:hAnsi="宋体" w:eastAsia="宋体" w:cs="宋体"/>
                <w:b w:val="0"/>
                <w:bCs w:val="0"/>
                <w:color w:val="auto"/>
                <w:sz w:val="21"/>
                <w:szCs w:val="21"/>
                <w:highlight w:val="none"/>
                <w:lang w:val="en-US" w:eastAsia="zh-CN" w:bidi="ar"/>
              </w:rPr>
              <w:t>，方案具有完整性、针对性、规范性和实际操作的可行性得5分；方案内容不充实得3分；方案实际操作性不强的得1分；其余不得分。</w:t>
            </w:r>
          </w:p>
        </w:tc>
        <w:tc>
          <w:tcPr>
            <w:tcW w:w="522" w:type="pct"/>
            <w:noWrap w:val="0"/>
            <w:vAlign w:val="center"/>
          </w:tcPr>
          <w:p w14:paraId="4FCDB266">
            <w:pPr>
              <w:keepNext w:val="0"/>
              <w:keepLines w:val="0"/>
              <w:pageBreakBefore w:val="0"/>
              <w:spacing w:line="360" w:lineRule="auto"/>
              <w:ind w:firstLine="0"/>
              <w:jc w:val="center"/>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43分</w:t>
            </w:r>
          </w:p>
        </w:tc>
      </w:tr>
      <w:tr w14:paraId="18BB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97" w:type="pct"/>
            <w:noWrap w:val="0"/>
            <w:vAlign w:val="center"/>
          </w:tcPr>
          <w:p w14:paraId="4B3C2DF9">
            <w:pPr>
              <w:keepNext w:val="0"/>
              <w:keepLines w:val="0"/>
              <w:pageBreakBefore w:val="0"/>
              <w:spacing w:line="360" w:lineRule="auto"/>
              <w:ind w:firstLine="0"/>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4</w:t>
            </w:r>
          </w:p>
        </w:tc>
        <w:tc>
          <w:tcPr>
            <w:tcW w:w="4502" w:type="pct"/>
            <w:gridSpan w:val="3"/>
            <w:shd w:val="clear" w:color="auto" w:fill="auto"/>
            <w:noWrap w:val="0"/>
            <w:vAlign w:val="center"/>
          </w:tcPr>
          <w:p w14:paraId="4EE6DEBE">
            <w:pPr>
              <w:keepNext w:val="0"/>
              <w:keepLines w:val="0"/>
              <w:pageBreakBefore w:val="0"/>
              <w:spacing w:line="360" w:lineRule="auto"/>
              <w:ind w:firstLine="0" w:firstLineChars="0"/>
              <w:jc w:val="both"/>
              <w:rPr>
                <w:rFonts w:hint="default" w:ascii="宋体" w:hAnsi="宋体" w:eastAsia="宋体" w:cs="宋体"/>
                <w:b w:val="0"/>
                <w:bCs w:val="0"/>
                <w:sz w:val="24"/>
                <w:szCs w:val="24"/>
                <w:lang w:val="en-US" w:eastAsia="zh-CN" w:bidi="ar-SA"/>
              </w:rPr>
            </w:pPr>
            <w:r>
              <w:rPr>
                <w:rFonts w:hint="eastAsia" w:ascii="宋体" w:hAnsi="宋体" w:eastAsia="宋体" w:cs="宋体"/>
                <w:b/>
                <w:bCs/>
                <w:sz w:val="22"/>
                <w:szCs w:val="22"/>
                <w:lang w:val="en-US" w:eastAsia="zh-CN" w:bidi="ar-SA"/>
              </w:rPr>
              <w:t>技术保障</w:t>
            </w:r>
            <w:r>
              <w:rPr>
                <w:rFonts w:hint="eastAsia" w:ascii="宋体" w:hAnsi="宋体" w:cs="宋体"/>
                <w:b/>
                <w:bCs/>
                <w:sz w:val="22"/>
                <w:szCs w:val="22"/>
                <w:lang w:val="en-US" w:eastAsia="zh-CN" w:bidi="ar-SA"/>
              </w:rPr>
              <w:t>2分</w:t>
            </w:r>
          </w:p>
        </w:tc>
      </w:tr>
      <w:tr w14:paraId="6861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trPr>
        <w:tc>
          <w:tcPr>
            <w:tcW w:w="497" w:type="pct"/>
            <w:noWrap w:val="0"/>
            <w:vAlign w:val="center"/>
          </w:tcPr>
          <w:p w14:paraId="06D316B7">
            <w:pPr>
              <w:keepNext w:val="0"/>
              <w:keepLines w:val="0"/>
              <w:pageBreakBefore w:val="0"/>
              <w:spacing w:line="360" w:lineRule="auto"/>
              <w:ind w:firstLine="0"/>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4.1</w:t>
            </w:r>
          </w:p>
        </w:tc>
        <w:tc>
          <w:tcPr>
            <w:tcW w:w="558" w:type="pct"/>
            <w:shd w:val="clear" w:color="auto" w:fill="auto"/>
            <w:noWrap w:val="0"/>
            <w:vAlign w:val="center"/>
          </w:tcPr>
          <w:p w14:paraId="49C4E936">
            <w:pPr>
              <w:keepNext w:val="0"/>
              <w:keepLines w:val="0"/>
              <w:pageBreakBefore w:val="0"/>
              <w:spacing w:line="360" w:lineRule="auto"/>
              <w:ind w:firstLine="0" w:firstLineChars="0"/>
              <w:jc w:val="center"/>
              <w:rPr>
                <w:rFonts w:hint="default" w:ascii="宋体" w:hAnsi="宋体" w:eastAsia="宋体" w:cs="宋体"/>
                <w:b w:val="0"/>
                <w:bCs w:val="0"/>
                <w:sz w:val="24"/>
                <w:szCs w:val="24"/>
                <w:lang w:val="en-US" w:eastAsia="zh-CN" w:bidi="ar-SA"/>
              </w:rPr>
            </w:pPr>
            <w:r>
              <w:rPr>
                <w:rFonts w:hint="eastAsia" w:ascii="宋体" w:hAnsi="宋体" w:cs="宋体"/>
                <w:b w:val="0"/>
                <w:bCs w:val="0"/>
                <w:sz w:val="22"/>
                <w:szCs w:val="22"/>
                <w:lang w:val="en-US" w:eastAsia="zh-CN" w:bidi="ar-SA"/>
              </w:rPr>
              <w:t>技术保障</w:t>
            </w:r>
          </w:p>
        </w:tc>
        <w:tc>
          <w:tcPr>
            <w:tcW w:w="3421" w:type="pct"/>
            <w:shd w:val="clear" w:color="auto" w:fill="auto"/>
            <w:noWrap w:val="0"/>
            <w:vAlign w:val="center"/>
          </w:tcPr>
          <w:p w14:paraId="59A7E26F">
            <w:pPr>
              <w:pStyle w:val="11"/>
              <w:ind w:left="0" w:leftChars="0" w:firstLine="420" w:firstLineChars="200"/>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为确保设备仪器的兼容性，供应商承诺提供的水质在线分析仪（高锰酸盐指数、氨氮、总磷、总氮、COD、五参数）备品备件为原厂供应渠道，成交后签订合同前与原厂就本项目签订备品备件供货协议的得2分。</w:t>
            </w:r>
          </w:p>
          <w:p w14:paraId="3EEFF961">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color w:val="auto"/>
                <w:kern w:val="2"/>
                <w:sz w:val="21"/>
                <w:szCs w:val="21"/>
                <w:highlight w:val="none"/>
                <w:lang w:val="en-US" w:eastAsia="zh-CN" w:bidi="ar"/>
              </w:rPr>
              <w:t>注：提供加盖供应商公章的承诺函，未提供或提供不全的不得分。</w:t>
            </w:r>
          </w:p>
        </w:tc>
        <w:tc>
          <w:tcPr>
            <w:tcW w:w="522" w:type="pct"/>
            <w:shd w:val="clear" w:color="auto" w:fill="auto"/>
            <w:noWrap w:val="0"/>
            <w:vAlign w:val="center"/>
          </w:tcPr>
          <w:p w14:paraId="7B551200">
            <w:pPr>
              <w:keepNext w:val="0"/>
              <w:keepLines w:val="0"/>
              <w:pageBreakBefore w:val="0"/>
              <w:spacing w:line="360" w:lineRule="auto"/>
              <w:ind w:firstLine="0" w:firstLineChars="0"/>
              <w:jc w:val="center"/>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2分</w:t>
            </w:r>
          </w:p>
        </w:tc>
      </w:tr>
      <w:tr w14:paraId="54B6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97" w:type="pct"/>
            <w:noWrap w:val="0"/>
            <w:vAlign w:val="center"/>
          </w:tcPr>
          <w:p w14:paraId="005EFEF3">
            <w:pPr>
              <w:keepNext w:val="0"/>
              <w:keepLines w:val="0"/>
              <w:pageBreakBefore w:val="0"/>
              <w:spacing w:line="360" w:lineRule="auto"/>
              <w:ind w:firstLine="0"/>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5</w:t>
            </w:r>
          </w:p>
        </w:tc>
        <w:tc>
          <w:tcPr>
            <w:tcW w:w="4502" w:type="pct"/>
            <w:gridSpan w:val="3"/>
            <w:shd w:val="clear" w:color="auto" w:fill="auto"/>
            <w:noWrap w:val="0"/>
            <w:vAlign w:val="center"/>
          </w:tcPr>
          <w:p w14:paraId="441364B4">
            <w:pPr>
              <w:keepNext w:val="0"/>
              <w:keepLines w:val="0"/>
              <w:pageBreakBefore w:val="0"/>
              <w:spacing w:line="360" w:lineRule="auto"/>
              <w:ind w:firstLine="0" w:firstLineChars="0"/>
              <w:jc w:val="left"/>
              <w:rPr>
                <w:rFonts w:hint="default" w:ascii="宋体" w:hAnsi="宋体" w:cs="宋体"/>
                <w:b w:val="0"/>
                <w:bCs w:val="0"/>
                <w:sz w:val="24"/>
                <w:szCs w:val="24"/>
                <w:lang w:val="en-US" w:eastAsia="zh-CN" w:bidi="ar-SA"/>
              </w:rPr>
            </w:pPr>
            <w:r>
              <w:rPr>
                <w:rFonts w:hint="eastAsia" w:ascii="宋体" w:hAnsi="宋体" w:cs="宋体"/>
                <w:b/>
                <w:bCs/>
                <w:kern w:val="0"/>
                <w:sz w:val="24"/>
                <w:szCs w:val="24"/>
                <w:highlight w:val="none"/>
                <w:lang w:val="en-US" w:eastAsia="zh-CN"/>
              </w:rPr>
              <w:t>备机保障  10分</w:t>
            </w:r>
          </w:p>
        </w:tc>
      </w:tr>
      <w:tr w14:paraId="53EA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trPr>
        <w:tc>
          <w:tcPr>
            <w:tcW w:w="497" w:type="pct"/>
            <w:noWrap w:val="0"/>
            <w:vAlign w:val="center"/>
          </w:tcPr>
          <w:p w14:paraId="38E029E6">
            <w:pPr>
              <w:keepNext w:val="0"/>
              <w:keepLines w:val="0"/>
              <w:pageBreakBefore w:val="0"/>
              <w:spacing w:line="360" w:lineRule="auto"/>
              <w:ind w:firstLine="0"/>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5.1</w:t>
            </w:r>
          </w:p>
        </w:tc>
        <w:tc>
          <w:tcPr>
            <w:tcW w:w="558" w:type="pct"/>
            <w:shd w:val="clear" w:color="auto" w:fill="auto"/>
            <w:noWrap w:val="0"/>
            <w:vAlign w:val="center"/>
          </w:tcPr>
          <w:p w14:paraId="2CE47FA4">
            <w:pPr>
              <w:keepNext w:val="0"/>
              <w:keepLines w:val="0"/>
              <w:pageBreakBefore w:val="0"/>
              <w:spacing w:line="360" w:lineRule="auto"/>
              <w:ind w:firstLine="0" w:firstLineChars="0"/>
              <w:jc w:val="center"/>
              <w:rPr>
                <w:rFonts w:hint="eastAsia" w:ascii="宋体" w:hAnsi="宋体" w:cs="宋体"/>
                <w:b w:val="0"/>
                <w:bCs w:val="0"/>
                <w:sz w:val="22"/>
                <w:szCs w:val="22"/>
                <w:lang w:val="en-US" w:eastAsia="zh-CN" w:bidi="ar-SA"/>
              </w:rPr>
            </w:pPr>
            <w:r>
              <w:rPr>
                <w:rFonts w:hint="eastAsia" w:ascii="宋体" w:hAnsi="宋体" w:cs="宋体"/>
                <w:b w:val="0"/>
                <w:bCs w:val="0"/>
                <w:sz w:val="22"/>
                <w:szCs w:val="22"/>
                <w:lang w:val="en-US" w:eastAsia="zh-CN" w:bidi="ar-SA"/>
              </w:rPr>
              <w:t>备机保障</w:t>
            </w:r>
          </w:p>
        </w:tc>
        <w:tc>
          <w:tcPr>
            <w:tcW w:w="3421" w:type="pct"/>
            <w:shd w:val="clear" w:color="auto" w:fill="auto"/>
            <w:noWrap w:val="0"/>
            <w:vAlign w:val="center"/>
          </w:tcPr>
          <w:p w14:paraId="2121B298">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为确保项目运行的稳定性，在设备发生故障时，投标单位应当提供备机服务。投标人拟为本项目投入的备机精度满足以下技术参数每符合一条得0.5分，最高得8分。提供生态环境部环境监测仪器质量监督检验中心出具的检测报告（取检测结果取偏离最大值为佐证）。</w:t>
            </w:r>
          </w:p>
          <w:p w14:paraId="35CAADC7">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（1）COD水质在线分析仪</w:t>
            </w:r>
          </w:p>
          <w:p w14:paraId="0F2EE255">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测量原理：重铬酸钾氧化 分光光度法</w:t>
            </w:r>
          </w:p>
          <w:p w14:paraId="7A9A7265">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重复性：≤0.5%</w:t>
            </w:r>
          </w:p>
          <w:p w14:paraId="707C985A">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电压影响：±0.5%</w:t>
            </w:r>
          </w:p>
          <w:p w14:paraId="5359C832">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（2）氨氮水质在线分析仪</w:t>
            </w:r>
          </w:p>
          <w:p w14:paraId="1487BFC9">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测量原理：水杨酸分光光度法</w:t>
            </w:r>
          </w:p>
          <w:p w14:paraId="4F5CA05E">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重复性：≤0.5%</w:t>
            </w:r>
          </w:p>
          <w:p w14:paraId="63450457">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24h高浓度漂移：≤0.5%</w:t>
            </w:r>
          </w:p>
          <w:p w14:paraId="30DF5CE9">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（3）总磷水质在线分析仪</w:t>
            </w:r>
          </w:p>
          <w:p w14:paraId="2303A14A">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测量原理：过硫酸盐氧化 钼酸铵分光光度法</w:t>
            </w:r>
          </w:p>
          <w:p w14:paraId="5F1F8355">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重复性误差：±1%</w:t>
            </w:r>
          </w:p>
          <w:p w14:paraId="6D32A92F">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零点漂移：±1%</w:t>
            </w:r>
          </w:p>
          <w:p w14:paraId="07832956">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（4）总氮水质在线分析仪</w:t>
            </w:r>
          </w:p>
          <w:p w14:paraId="0D18379A">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测量原理：过硫酸钾氧化紫外分光光度法 </w:t>
            </w:r>
          </w:p>
          <w:p w14:paraId="15325B41">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重复性误差：±0.5%</w:t>
            </w:r>
          </w:p>
          <w:p w14:paraId="25010C51">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零点漂移：±0.5%</w:t>
            </w:r>
          </w:p>
          <w:p w14:paraId="1C756958">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MTBF：≥1440h</w:t>
            </w:r>
          </w:p>
          <w:p w14:paraId="27D9607B">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 高锰酸盐指数在线分析仪</w:t>
            </w:r>
          </w:p>
          <w:p w14:paraId="2D990E2D">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测量原理：高锰酸钾氧化 分光光度法</w:t>
            </w:r>
          </w:p>
          <w:p w14:paraId="5B57859D">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重复性误差：±1%</w:t>
            </w:r>
          </w:p>
          <w:p w14:paraId="446D5E53">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零点漂移：±1.5%</w:t>
            </w:r>
          </w:p>
          <w:p w14:paraId="7542BA33">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2、为减少不同型号产生系统偏差的概率，确保性能稳定及数据可溯源，投标单位承诺为本次项目拟投入的备机为同一品牌的得2分，其余不得分。</w:t>
            </w:r>
          </w:p>
        </w:tc>
        <w:tc>
          <w:tcPr>
            <w:tcW w:w="522" w:type="pct"/>
            <w:shd w:val="clear" w:color="auto" w:fill="auto"/>
            <w:noWrap w:val="0"/>
            <w:vAlign w:val="center"/>
          </w:tcPr>
          <w:p w14:paraId="37C89AF4">
            <w:pPr>
              <w:keepNext w:val="0"/>
              <w:keepLines w:val="0"/>
              <w:pageBreakBefore w:val="0"/>
              <w:spacing w:line="360" w:lineRule="auto"/>
              <w:ind w:firstLine="0" w:firstLineChars="0"/>
              <w:jc w:val="center"/>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10分</w:t>
            </w:r>
          </w:p>
        </w:tc>
      </w:tr>
    </w:tbl>
    <w:p w14:paraId="14D31D86">
      <w:pPr>
        <w:pageBreakBefore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政府采购网上进行公告。磋商供应商对采购过程和成交结果有质疑的必须在相关法律法规规定的时间内提出。</w:t>
      </w:r>
    </w:p>
    <w:p w14:paraId="6DF4903E">
      <w:pPr>
        <w:pageBreakBefore w:val="0"/>
        <w:spacing w:line="380" w:lineRule="exact"/>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成交候选人在公示期间，如经查实从参加该成交项目之日起计算所参加的政府采购活动前三年内，在经营活动中有行贿犯罪记录的，采购人将取消其成交候选人资格。</w:t>
      </w:r>
    </w:p>
    <w:p w14:paraId="39E8AAA8">
      <w:pPr>
        <w:pageBreakBefore w:val="0"/>
        <w:spacing w:line="380" w:lineRule="exact"/>
        <w:ind w:right="-63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磋商过程保密</w:t>
      </w:r>
    </w:p>
    <w:p w14:paraId="41B10707">
      <w:pPr>
        <w:pageBreakBefore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在宣布确定成交之前，凡属于审查、澄清、磋商、比较响应文件和确定成交意向等有关信息，均不得泄露给任何与磋商工作无关的人员。</w:t>
      </w:r>
    </w:p>
    <w:p w14:paraId="6E328ACD">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磋商供应商不得探听上述信息，不得以任何行为影响磋商过程，否则将被取消成交资格。</w:t>
      </w:r>
    </w:p>
    <w:p w14:paraId="4410AA04">
      <w:pPr>
        <w:pageBreakBefore w:val="0"/>
        <w:spacing w:line="380" w:lineRule="exact"/>
        <w:ind w:firstLine="480"/>
        <w:rPr>
          <w:rFonts w:hint="eastAsia" w:ascii="宋体" w:hAnsi="宋体" w:eastAsia="宋体" w:cs="宋体"/>
          <w:color w:val="auto"/>
          <w:sz w:val="24"/>
          <w:szCs w:val="24"/>
          <w:highlight w:val="none"/>
        </w:rPr>
        <w:sectPr>
          <w:footerReference r:id="rId3" w:type="default"/>
          <w:pgSz w:w="11906" w:h="16838"/>
          <w:pgMar w:top="1383" w:right="1474" w:bottom="1440" w:left="1474" w:header="851" w:footer="992"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eastAsia="宋体" w:cs="宋体"/>
          <w:color w:val="auto"/>
          <w:sz w:val="24"/>
          <w:szCs w:val="24"/>
          <w:highlight w:val="none"/>
        </w:rPr>
        <w:t>在磋商期间，采购人将指定联络员与磋商供应商进行联络。</w:t>
      </w:r>
      <w:bookmarkEnd w:id="29"/>
    </w:p>
    <w:p w14:paraId="61A6004F">
      <w:pPr>
        <w:pageBreakBefore w:val="0"/>
        <w:numPr>
          <w:ilvl w:val="0"/>
          <w:numId w:val="5"/>
        </w:numPr>
        <w:spacing w:line="380" w:lineRule="exact"/>
        <w:jc w:val="center"/>
        <w:outlineLvl w:val="0"/>
        <w:rPr>
          <w:rFonts w:hint="eastAsia" w:ascii="宋体" w:hAnsi="宋体" w:eastAsia="宋体" w:cs="宋体"/>
          <w:b/>
          <w:sz w:val="36"/>
          <w:szCs w:val="36"/>
          <w:highlight w:val="none"/>
        </w:rPr>
      </w:pPr>
      <w:bookmarkStart w:id="31" w:name="OLE_LINK12"/>
      <w:r>
        <w:rPr>
          <w:rFonts w:hint="eastAsia" w:ascii="宋体" w:hAnsi="宋体" w:eastAsia="宋体" w:cs="宋体"/>
          <w:b/>
          <w:color w:val="auto"/>
          <w:sz w:val="32"/>
          <w:szCs w:val="32"/>
          <w:highlight w:val="none"/>
          <w:lang w:val="en-US" w:eastAsia="zh-CN"/>
        </w:rPr>
        <w:t>磋商项目采购需求</w:t>
      </w:r>
      <w:bookmarkEnd w:id="31"/>
    </w:p>
    <w:p w14:paraId="145F9A93">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（一）项目概况</w:t>
      </w:r>
    </w:p>
    <w:p w14:paraId="3AEE441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盱眙经济开发区现有地表水水质自动监测站2套、</w:t>
      </w:r>
      <w:r>
        <w:rPr>
          <w:rFonts w:hint="eastAsia" w:ascii="宋体" w:hAnsi="宋体" w:cs="宋体"/>
          <w:color w:val="000000"/>
          <w:kern w:val="0"/>
          <w:sz w:val="24"/>
          <w:szCs w:val="24"/>
          <w:lang w:val="en-US" w:eastAsia="zh-CN" w:bidi="ar"/>
        </w:rPr>
        <w:t>污水</w:t>
      </w:r>
      <w:r>
        <w:rPr>
          <w:rFonts w:hint="eastAsia" w:ascii="宋体" w:hAnsi="宋体" w:eastAsia="宋体" w:cs="宋体"/>
          <w:color w:val="000000"/>
          <w:kern w:val="0"/>
          <w:sz w:val="24"/>
          <w:szCs w:val="24"/>
          <w:lang w:val="en-US" w:eastAsia="zh-CN" w:bidi="ar"/>
        </w:rPr>
        <w:t>管网水质自动监测站4套、环境监测监控软件平台1套，</w:t>
      </w:r>
      <w:r>
        <w:rPr>
          <w:rFonts w:hint="eastAsia" w:ascii="宋体" w:hAnsi="宋体" w:cs="宋体"/>
          <w:color w:val="000000"/>
          <w:kern w:val="0"/>
          <w:sz w:val="24"/>
          <w:szCs w:val="24"/>
          <w:lang w:val="en-US" w:eastAsia="zh-CN" w:bidi="ar"/>
        </w:rPr>
        <w:t>其中地表水站部分数据上传至省生态环境厅限值限量平台，全部数据上传自建平台；污水管网监测站数据上传自用信息平台和手机终端。</w:t>
      </w:r>
      <w:r>
        <w:rPr>
          <w:rFonts w:hint="eastAsia" w:ascii="宋体" w:hAnsi="宋体" w:eastAsia="宋体" w:cs="宋体"/>
          <w:color w:val="000000"/>
          <w:kern w:val="0"/>
          <w:sz w:val="24"/>
          <w:szCs w:val="24"/>
          <w:lang w:val="en-US" w:eastAsia="zh-CN" w:bidi="ar"/>
        </w:rPr>
        <w:t>目前运维</w:t>
      </w:r>
      <w:r>
        <w:rPr>
          <w:rFonts w:hint="eastAsia" w:ascii="宋体" w:hAnsi="宋体" w:cs="宋体"/>
          <w:color w:val="000000"/>
          <w:kern w:val="0"/>
          <w:sz w:val="24"/>
          <w:szCs w:val="24"/>
          <w:lang w:val="en-US" w:eastAsia="zh-CN" w:bidi="ar"/>
        </w:rPr>
        <w:t>即将</w:t>
      </w:r>
      <w:r>
        <w:rPr>
          <w:rFonts w:hint="eastAsia" w:ascii="宋体" w:hAnsi="宋体" w:eastAsia="宋体" w:cs="宋体"/>
          <w:color w:val="000000"/>
          <w:kern w:val="0"/>
          <w:sz w:val="24"/>
          <w:szCs w:val="24"/>
          <w:lang w:val="en-US" w:eastAsia="zh-CN" w:bidi="ar"/>
        </w:rPr>
        <w:t>到期，需要对以上内容采购相关运维服务。</w:t>
      </w:r>
    </w:p>
    <w:p w14:paraId="7EB8A236">
      <w:pPr>
        <w:keepNext w:val="0"/>
        <w:keepLines w:val="0"/>
        <w:widowControl/>
        <w:suppressLineNumbers w:val="0"/>
        <w:spacing w:line="360" w:lineRule="auto"/>
        <w:ind w:firstLine="480" w:firstLineChars="200"/>
        <w:jc w:val="left"/>
        <w:rPr>
          <w:rFonts w:hint="default" w:ascii="宋体" w:hAnsi="宋体" w:eastAsia="宋体" w:cs="宋体"/>
          <w:sz w:val="24"/>
          <w:szCs w:val="24"/>
          <w:highlight w:val="none"/>
          <w:lang w:val="en-US" w:eastAsia="zh-CN"/>
        </w:rPr>
      </w:pPr>
      <w:r>
        <w:rPr>
          <w:rFonts w:hint="eastAsia" w:ascii="宋体" w:hAnsi="宋体" w:cs="宋体"/>
          <w:color w:val="000000"/>
          <w:kern w:val="0"/>
          <w:sz w:val="24"/>
          <w:szCs w:val="24"/>
          <w:highlight w:val="none"/>
          <w:lang w:val="en-US" w:eastAsia="zh-CN" w:bidi="ar"/>
        </w:rPr>
        <w:t>本次招标</w:t>
      </w:r>
      <w:r>
        <w:rPr>
          <w:rFonts w:hint="eastAsia" w:ascii="宋体" w:hAnsi="宋体" w:eastAsia="宋体" w:cs="宋体"/>
          <w:color w:val="000000"/>
          <w:kern w:val="0"/>
          <w:sz w:val="24"/>
          <w:szCs w:val="24"/>
          <w:highlight w:val="none"/>
          <w:lang w:val="en-US" w:eastAsia="zh-CN" w:bidi="ar"/>
        </w:rPr>
        <w:t>运维服务期限：</w:t>
      </w:r>
      <w:r>
        <w:rPr>
          <w:rFonts w:hint="eastAsia" w:ascii="宋体" w:hAnsi="宋体" w:cs="宋体"/>
          <w:color w:val="000000"/>
          <w:kern w:val="0"/>
          <w:sz w:val="24"/>
          <w:szCs w:val="24"/>
          <w:highlight w:val="none"/>
          <w:lang w:val="en-US" w:eastAsia="zh-CN" w:bidi="ar"/>
        </w:rPr>
        <w:t>自合同签订之日起三年。</w:t>
      </w:r>
    </w:p>
    <w:p w14:paraId="36132813">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w:t>
      </w:r>
      <w:r>
        <w:rPr>
          <w:rFonts w:hint="eastAsia" w:ascii="宋体" w:hAnsi="宋体" w:cs="宋体"/>
          <w:color w:val="000000"/>
          <w:kern w:val="0"/>
          <w:sz w:val="24"/>
          <w:szCs w:val="24"/>
          <w:lang w:val="en-US" w:eastAsia="zh-CN" w:bidi="ar"/>
        </w:rPr>
        <w:t>运维</w:t>
      </w:r>
      <w:r>
        <w:rPr>
          <w:rFonts w:hint="eastAsia" w:ascii="宋体" w:hAnsi="宋体" w:eastAsia="宋体" w:cs="宋体"/>
          <w:color w:val="000000"/>
          <w:kern w:val="0"/>
          <w:sz w:val="24"/>
          <w:szCs w:val="24"/>
          <w:lang w:val="en-US" w:eastAsia="zh-CN" w:bidi="ar"/>
        </w:rPr>
        <w:t>内容清单</w:t>
      </w:r>
    </w:p>
    <w:tbl>
      <w:tblPr>
        <w:tblStyle w:val="20"/>
        <w:tblW w:w="4991" w:type="pct"/>
        <w:jc w:val="center"/>
        <w:tblLayout w:type="autofit"/>
        <w:tblCellMar>
          <w:top w:w="0" w:type="dxa"/>
          <w:left w:w="108" w:type="dxa"/>
          <w:bottom w:w="0" w:type="dxa"/>
          <w:right w:w="108" w:type="dxa"/>
        </w:tblCellMar>
      </w:tblPr>
      <w:tblGrid>
        <w:gridCol w:w="786"/>
        <w:gridCol w:w="1006"/>
        <w:gridCol w:w="2638"/>
        <w:gridCol w:w="2542"/>
        <w:gridCol w:w="1144"/>
        <w:gridCol w:w="803"/>
        <w:gridCol w:w="803"/>
      </w:tblGrid>
      <w:tr w14:paraId="2CD028B7">
        <w:tblPrEx>
          <w:tblCellMar>
            <w:top w:w="0" w:type="dxa"/>
            <w:left w:w="108" w:type="dxa"/>
            <w:bottom w:w="0" w:type="dxa"/>
            <w:right w:w="108" w:type="dxa"/>
          </w:tblCellMar>
        </w:tblPrEx>
        <w:trPr>
          <w:trHeight w:val="500" w:hRule="atLeast"/>
          <w:jc w:val="center"/>
        </w:trPr>
        <w:tc>
          <w:tcPr>
            <w:tcW w:w="404" w:type="pct"/>
            <w:tcBorders>
              <w:top w:val="single" w:color="000000" w:sz="4" w:space="0"/>
              <w:left w:val="single" w:color="000000" w:sz="4" w:space="0"/>
              <w:bottom w:val="single" w:color="000000" w:sz="4" w:space="0"/>
              <w:right w:val="single" w:color="000000" w:sz="4" w:space="0"/>
            </w:tcBorders>
            <w:noWrap w:val="0"/>
            <w:vAlign w:val="center"/>
          </w:tcPr>
          <w:p w14:paraId="6D13F432">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序号</w:t>
            </w:r>
          </w:p>
        </w:tc>
        <w:tc>
          <w:tcPr>
            <w:tcW w:w="1873" w:type="pct"/>
            <w:gridSpan w:val="2"/>
            <w:tcBorders>
              <w:top w:val="single" w:color="000000" w:sz="4" w:space="0"/>
              <w:left w:val="single" w:color="000000" w:sz="4" w:space="0"/>
              <w:bottom w:val="single" w:color="000000" w:sz="4" w:space="0"/>
              <w:right w:val="single" w:color="000000" w:sz="4" w:space="0"/>
            </w:tcBorders>
            <w:noWrap w:val="0"/>
            <w:vAlign w:val="center"/>
          </w:tcPr>
          <w:p w14:paraId="3969ABF8">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产品名称</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1A330C3A">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设备型号</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93ED9B1">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设备品牌</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7466AB1">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数量</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47B5BBA">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单位</w:t>
            </w:r>
          </w:p>
        </w:tc>
      </w:tr>
      <w:tr w14:paraId="09F1D5AC">
        <w:tblPrEx>
          <w:tblCellMar>
            <w:top w:w="0" w:type="dxa"/>
            <w:left w:w="108" w:type="dxa"/>
            <w:bottom w:w="0" w:type="dxa"/>
            <w:right w:w="108" w:type="dxa"/>
          </w:tblCellMar>
        </w:tblPrEx>
        <w:trPr>
          <w:trHeight w:val="500" w:hRule="atLeast"/>
          <w:jc w:val="center"/>
        </w:trPr>
        <w:tc>
          <w:tcPr>
            <w:tcW w:w="404" w:type="pct"/>
            <w:vMerge w:val="restart"/>
            <w:tcBorders>
              <w:top w:val="single" w:color="000000" w:sz="4" w:space="0"/>
              <w:left w:val="single" w:color="000000" w:sz="4" w:space="0"/>
              <w:right w:val="single" w:color="000000" w:sz="4" w:space="0"/>
            </w:tcBorders>
            <w:noWrap w:val="0"/>
            <w:vAlign w:val="center"/>
          </w:tcPr>
          <w:p w14:paraId="2F400C94">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1</w:t>
            </w:r>
          </w:p>
        </w:tc>
        <w:tc>
          <w:tcPr>
            <w:tcW w:w="517" w:type="pct"/>
            <w:vMerge w:val="restart"/>
            <w:tcBorders>
              <w:top w:val="single" w:color="000000" w:sz="4" w:space="0"/>
              <w:left w:val="single" w:color="000000" w:sz="4" w:space="0"/>
              <w:right w:val="single" w:color="000000" w:sz="4" w:space="0"/>
            </w:tcBorders>
            <w:noWrap w:val="0"/>
            <w:vAlign w:val="center"/>
          </w:tcPr>
          <w:p w14:paraId="4CF80A48">
            <w:pPr>
              <w:keepNext w:val="0"/>
              <w:keepLines w:val="0"/>
              <w:widowControl/>
              <w:suppressLineNumbers w:val="0"/>
              <w:spacing w:line="360" w:lineRule="auto"/>
              <w:jc w:val="left"/>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地表水水质自动监测站</w:t>
            </w:r>
          </w:p>
          <w:p w14:paraId="7FDFFCF8">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4555611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高锰酸盐指数在线分析仪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5D9415E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HH-8100型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A65C66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4AE576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9181DE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r>
      <w:tr w14:paraId="093BDCBC">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6A307290">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18EEF5B3">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54E2D12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氨氮水质在线分析仪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34A2FEC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DEK-NH3-N型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C38D42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DB5F5B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9544B4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6B6CA786">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3E7D503B">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4122C125">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7A97F00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总磷水质在线分析仪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244A4C3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DEK型（TP）</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283440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5FA1B70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50285F4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5309375A">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2A0671FF">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503CD816">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680260C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总氮水质在线分析仪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6AEEFE2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DEK型（TN）</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D73353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5F8008F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5B4ED5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1C1DCB24">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23979B2A">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121B1044">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56EF4299">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COD</w:t>
            </w:r>
            <w:r>
              <w:rPr>
                <w:rFonts w:hint="eastAsia" w:ascii="宋体" w:hAnsi="宋体" w:eastAsia="宋体" w:cs="宋体"/>
                <w:sz w:val="24"/>
                <w:szCs w:val="24"/>
              </w:rPr>
              <w:t>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168E683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DEK型（COD）</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1F7C7B3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638FB18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43EB60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7C1BCA36">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2A7D64A0">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2C855675">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3BBB87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水质五参数在线分析仪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22E521B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HH-7100型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829794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FDE976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F15823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4E99AF84">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108A5FC5">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62EE4C7D">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1754D16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数据采集传输单元</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594F7E4F">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定制</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3D2F4B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425C23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577FBDC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5F4E21A3">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54F7B600">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03C65407">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001F116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视频监控系统</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73F4204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视频监控球机：DH-SD-6C3ABCDU-XY型、硬盘录像机：DH-NVR5832-4KS2型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6356F0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大华</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D8D566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65515AC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5276AE61">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41EC4E16">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62A4A5A1">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6C85CB2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UPS 不间断系统</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28BD96E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C3KS型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29FB44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山特</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D3BBE9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B07F3B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124210F3">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1E75E19D">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356B3EDB">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68EBC0D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监测</w:t>
            </w:r>
            <w:r>
              <w:rPr>
                <w:rFonts w:hint="eastAsia" w:ascii="宋体" w:hAnsi="宋体" w:eastAsia="宋体" w:cs="宋体"/>
                <w:sz w:val="24"/>
                <w:szCs w:val="24"/>
              </w:rPr>
              <w:t>站房</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51F3E74E">
            <w:pPr>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定制</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22D6F1F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5ADA603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9F4A13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1BB0DB81">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bottom w:val="single" w:color="000000" w:sz="4" w:space="0"/>
              <w:right w:val="single" w:color="000000" w:sz="4" w:space="0"/>
            </w:tcBorders>
            <w:noWrap w:val="0"/>
            <w:vAlign w:val="center"/>
          </w:tcPr>
          <w:p w14:paraId="3FD23887">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bottom w:val="single" w:color="000000" w:sz="4" w:space="0"/>
              <w:right w:val="single" w:color="000000" w:sz="4" w:space="0"/>
            </w:tcBorders>
            <w:noWrap w:val="0"/>
            <w:vAlign w:val="center"/>
          </w:tcPr>
          <w:p w14:paraId="17E7B2F7">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166D889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流量计</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091F57E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HFT-DPLMQLS</w:t>
            </w:r>
            <w:r>
              <w:rPr>
                <w:rFonts w:hint="eastAsia" w:ascii="宋体" w:hAnsi="宋体" w:eastAsia="宋体" w:cs="宋体"/>
                <w:sz w:val="24"/>
                <w:szCs w:val="24"/>
                <w:lang w:val="en-US" w:eastAsia="zh-CN"/>
              </w:rPr>
              <w:t>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282E5C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恒丰泰</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82EBDF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095EAC2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59D9C542">
        <w:tblPrEx>
          <w:tblCellMar>
            <w:top w:w="0" w:type="dxa"/>
            <w:left w:w="108" w:type="dxa"/>
            <w:bottom w:w="0" w:type="dxa"/>
            <w:right w:w="108" w:type="dxa"/>
          </w:tblCellMar>
        </w:tblPrEx>
        <w:trPr>
          <w:trHeight w:val="500" w:hRule="atLeast"/>
          <w:jc w:val="center"/>
        </w:trPr>
        <w:tc>
          <w:tcPr>
            <w:tcW w:w="404" w:type="pct"/>
            <w:vMerge w:val="restart"/>
            <w:tcBorders>
              <w:top w:val="single" w:color="000000" w:sz="4" w:space="0"/>
              <w:left w:val="single" w:color="000000" w:sz="4" w:space="0"/>
              <w:right w:val="single" w:color="000000" w:sz="4" w:space="0"/>
            </w:tcBorders>
            <w:noWrap w:val="0"/>
            <w:vAlign w:val="center"/>
          </w:tcPr>
          <w:p w14:paraId="5CC9BC3A">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2</w:t>
            </w:r>
          </w:p>
        </w:tc>
        <w:tc>
          <w:tcPr>
            <w:tcW w:w="517" w:type="pct"/>
            <w:vMerge w:val="restart"/>
            <w:tcBorders>
              <w:top w:val="single" w:color="000000" w:sz="4" w:space="0"/>
              <w:left w:val="single" w:color="000000" w:sz="4" w:space="0"/>
              <w:right w:val="single" w:color="000000" w:sz="4" w:space="0"/>
            </w:tcBorders>
            <w:noWrap w:val="0"/>
            <w:vAlign w:val="center"/>
          </w:tcPr>
          <w:p w14:paraId="046DEEA4">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管网水质自动监测站</w:t>
            </w: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2C5631C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COD 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5296819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DEK型（COD）</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72AFD1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012F2C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57B5077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51E74DEA">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20B20CCF">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4AB0D318">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7EB729B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氨氮水质在线分析仪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45A7593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DEK-NH3-N型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9B53EB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439E01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78AE0C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37CEC54C">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61A04984">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1F2F7FC1">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2F70E9A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总磷水质在线分析仪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4793B52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DEK型</w:t>
            </w:r>
            <w:r>
              <w:rPr>
                <w:rFonts w:hint="eastAsia" w:ascii="宋体" w:hAnsi="宋体" w:eastAsia="宋体" w:cs="宋体"/>
                <w:sz w:val="24"/>
                <w:szCs w:val="24"/>
                <w:lang w:eastAsia="zh-CN"/>
              </w:rPr>
              <w:t>（</w:t>
            </w:r>
            <w:r>
              <w:rPr>
                <w:rFonts w:hint="eastAsia" w:ascii="宋体" w:hAnsi="宋体" w:eastAsia="宋体" w:cs="宋体"/>
                <w:sz w:val="24"/>
                <w:szCs w:val="24"/>
              </w:rPr>
              <w:t>TP</w:t>
            </w:r>
            <w:r>
              <w:rPr>
                <w:rFonts w:hint="eastAsia" w:ascii="宋体" w:hAnsi="宋体" w:eastAsia="宋体" w:cs="宋体"/>
                <w:sz w:val="24"/>
                <w:szCs w:val="24"/>
                <w:lang w:eastAsia="zh-CN"/>
              </w:rPr>
              <w:t>）</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F9277A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12ADEB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F9B88B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232B5C46">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63FAFC79">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0809F865">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3D2C0DB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总氮水质在线分析仪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76EDAA7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DEK型</w:t>
            </w:r>
            <w:r>
              <w:rPr>
                <w:rFonts w:hint="eastAsia" w:ascii="宋体" w:hAnsi="宋体" w:eastAsia="宋体" w:cs="宋体"/>
                <w:sz w:val="24"/>
                <w:szCs w:val="24"/>
                <w:lang w:eastAsia="zh-CN"/>
              </w:rPr>
              <w:t>（</w:t>
            </w:r>
            <w:r>
              <w:rPr>
                <w:rFonts w:hint="eastAsia" w:ascii="宋体" w:hAnsi="宋体" w:eastAsia="宋体" w:cs="宋体"/>
                <w:sz w:val="24"/>
                <w:szCs w:val="24"/>
              </w:rPr>
              <w:t>T</w:t>
            </w:r>
            <w:r>
              <w:rPr>
                <w:rFonts w:hint="eastAsia" w:ascii="宋体" w:hAnsi="宋体" w:eastAsia="宋体" w:cs="宋体"/>
                <w:sz w:val="24"/>
                <w:szCs w:val="24"/>
                <w:lang w:val="en-US" w:eastAsia="zh-CN"/>
              </w:rPr>
              <w:t>N</w:t>
            </w:r>
            <w:r>
              <w:rPr>
                <w:rFonts w:hint="eastAsia" w:ascii="宋体" w:hAnsi="宋体" w:eastAsia="宋体" w:cs="宋体"/>
                <w:sz w:val="24"/>
                <w:szCs w:val="24"/>
                <w:lang w:eastAsia="zh-CN"/>
              </w:rPr>
              <w:t>）</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8E2A98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EC7EFC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0E1AC49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71222CB5">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55C2FEC1">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3F601826">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260D47A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pH 水质在线分析仪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2D16C3E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PH-H4100型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1BD857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005FE70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C00E88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7260FBDA">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38239F88">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0C600CBC">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533D966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数据采集传输仪</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33F1BEE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HH</w:t>
            </w:r>
            <w:r>
              <w:rPr>
                <w:rFonts w:hint="eastAsia" w:ascii="宋体" w:hAnsi="宋体" w:eastAsia="宋体" w:cs="宋体"/>
                <w:sz w:val="24"/>
                <w:szCs w:val="24"/>
                <w:lang w:val="en-US" w:eastAsia="zh-CN"/>
              </w:rPr>
              <w:t>-</w:t>
            </w:r>
            <w:r>
              <w:rPr>
                <w:rFonts w:hint="eastAsia" w:ascii="宋体" w:hAnsi="宋体" w:eastAsia="宋体" w:cs="宋体"/>
                <w:sz w:val="24"/>
                <w:szCs w:val="24"/>
              </w:rPr>
              <w:t>6300</w:t>
            </w:r>
            <w:r>
              <w:rPr>
                <w:rFonts w:hint="eastAsia" w:ascii="宋体" w:hAnsi="宋体" w:eastAsia="宋体" w:cs="宋体"/>
                <w:sz w:val="24"/>
                <w:szCs w:val="24"/>
                <w:lang w:val="en-US" w:eastAsia="zh-CN"/>
              </w:rPr>
              <w:t>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D305EA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42E79D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BA072A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1D226742">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701B0A5F">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6FB55262">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259294E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视频监控系统</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294DEC0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视频监控球机：DH-SD-6C3ABCDU-XY型、硬盘录像机：DH-NVR5832-4KS2型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A5A183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大华</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4C0B8F3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4B0737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32D75C20">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42B24C57">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147674FD">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2C28C48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UPS 不间断系统</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5CA4CA2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C3KS型</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412C43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山特</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6D85B65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5D68E8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51F89414">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bottom w:val="single" w:color="000000" w:sz="4" w:space="0"/>
              <w:right w:val="single" w:color="000000" w:sz="4" w:space="0"/>
            </w:tcBorders>
            <w:noWrap w:val="0"/>
            <w:vAlign w:val="center"/>
          </w:tcPr>
          <w:p w14:paraId="61994010">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bottom w:val="single" w:color="000000" w:sz="4" w:space="0"/>
              <w:right w:val="single" w:color="000000" w:sz="4" w:space="0"/>
            </w:tcBorders>
            <w:noWrap w:val="0"/>
            <w:vAlign w:val="center"/>
          </w:tcPr>
          <w:p w14:paraId="63D3B3DE">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400A69C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监测站房</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6F682EEB">
            <w:pPr>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定制</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85BFCD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022622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029AC9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套</w:t>
            </w:r>
          </w:p>
        </w:tc>
      </w:tr>
      <w:tr w14:paraId="6B552BF3">
        <w:tblPrEx>
          <w:tblCellMar>
            <w:top w:w="0" w:type="dxa"/>
            <w:left w:w="108" w:type="dxa"/>
            <w:bottom w:w="0" w:type="dxa"/>
            <w:right w:w="108" w:type="dxa"/>
          </w:tblCellMar>
        </w:tblPrEx>
        <w:trPr>
          <w:trHeight w:val="500" w:hRule="atLeast"/>
          <w:jc w:val="center"/>
        </w:trPr>
        <w:tc>
          <w:tcPr>
            <w:tcW w:w="404" w:type="pct"/>
            <w:vMerge w:val="restart"/>
            <w:tcBorders>
              <w:top w:val="single" w:color="000000" w:sz="4" w:space="0"/>
              <w:left w:val="single" w:color="000000" w:sz="4" w:space="0"/>
              <w:right w:val="single" w:color="000000" w:sz="4" w:space="0"/>
            </w:tcBorders>
            <w:noWrap w:val="0"/>
            <w:vAlign w:val="center"/>
          </w:tcPr>
          <w:p w14:paraId="143C7077">
            <w:pPr>
              <w:pStyle w:val="45"/>
              <w:spacing w:line="360" w:lineRule="auto"/>
              <w:jc w:val="center"/>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3</w:t>
            </w:r>
          </w:p>
        </w:tc>
        <w:tc>
          <w:tcPr>
            <w:tcW w:w="517" w:type="pct"/>
            <w:vMerge w:val="restart"/>
            <w:tcBorders>
              <w:top w:val="single" w:color="000000" w:sz="4" w:space="0"/>
              <w:left w:val="single" w:color="000000" w:sz="4" w:space="0"/>
              <w:right w:val="single" w:color="000000" w:sz="4" w:space="0"/>
            </w:tcBorders>
            <w:noWrap w:val="0"/>
            <w:vAlign w:val="center"/>
          </w:tcPr>
          <w:p w14:paraId="31E4C46B">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环境监测监控软件平台</w:t>
            </w:r>
          </w:p>
          <w:p w14:paraId="005153FE">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0533A36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污染源自动监控动态管控平台</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462E8B11">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定制</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1D0446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82A106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7A5A02B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r>
      <w:tr w14:paraId="2428465B">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right w:val="single" w:color="000000" w:sz="4" w:space="0"/>
            </w:tcBorders>
            <w:noWrap w:val="0"/>
            <w:vAlign w:val="center"/>
          </w:tcPr>
          <w:p w14:paraId="63647817">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right w:val="single" w:color="000000" w:sz="4" w:space="0"/>
            </w:tcBorders>
            <w:noWrap w:val="0"/>
            <w:vAlign w:val="center"/>
          </w:tcPr>
          <w:p w14:paraId="18407488">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7648DC2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水质监测动态管控平台</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3D6D983A">
            <w:pPr>
              <w:spacing w:line="360" w:lineRule="auto"/>
              <w:jc w:val="center"/>
              <w:rPr>
                <w:rFonts w:hint="eastAsia" w:ascii="宋体" w:hAnsi="宋体" w:eastAsia="宋体" w:cs="宋体"/>
                <w:b w:val="0"/>
                <w:sz w:val="24"/>
                <w:szCs w:val="24"/>
                <w:highlight w:val="none"/>
              </w:rPr>
            </w:pPr>
            <w:r>
              <w:rPr>
                <w:rFonts w:hint="eastAsia" w:ascii="宋体" w:hAnsi="宋体" w:cs="宋体"/>
                <w:sz w:val="24"/>
                <w:szCs w:val="24"/>
                <w:lang w:val="en-US" w:eastAsia="zh-CN"/>
              </w:rPr>
              <w:t>定制</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1EB46F9">
            <w:pPr>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A4C309E">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1</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20B2CC73">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套</w:t>
            </w:r>
          </w:p>
        </w:tc>
      </w:tr>
      <w:tr w14:paraId="5F9B3AAE">
        <w:tblPrEx>
          <w:tblCellMar>
            <w:top w:w="0" w:type="dxa"/>
            <w:left w:w="108" w:type="dxa"/>
            <w:bottom w:w="0" w:type="dxa"/>
            <w:right w:w="108" w:type="dxa"/>
          </w:tblCellMar>
        </w:tblPrEx>
        <w:trPr>
          <w:trHeight w:val="500" w:hRule="atLeast"/>
          <w:jc w:val="center"/>
        </w:trPr>
        <w:tc>
          <w:tcPr>
            <w:tcW w:w="404" w:type="pct"/>
            <w:vMerge w:val="continue"/>
            <w:tcBorders>
              <w:left w:val="single" w:color="000000" w:sz="4" w:space="0"/>
              <w:bottom w:val="single" w:color="000000" w:sz="4" w:space="0"/>
              <w:right w:val="single" w:color="000000" w:sz="4" w:space="0"/>
            </w:tcBorders>
            <w:noWrap w:val="0"/>
            <w:vAlign w:val="center"/>
          </w:tcPr>
          <w:p w14:paraId="50B425AE">
            <w:pPr>
              <w:pStyle w:val="45"/>
              <w:spacing w:line="360" w:lineRule="auto"/>
              <w:jc w:val="center"/>
              <w:rPr>
                <w:rFonts w:hint="eastAsia" w:ascii="宋体" w:hAnsi="宋体" w:eastAsia="宋体" w:cs="宋体"/>
                <w:b w:val="0"/>
                <w:sz w:val="24"/>
                <w:szCs w:val="24"/>
                <w:highlight w:val="none"/>
              </w:rPr>
            </w:pPr>
          </w:p>
        </w:tc>
        <w:tc>
          <w:tcPr>
            <w:tcW w:w="517" w:type="pct"/>
            <w:vMerge w:val="continue"/>
            <w:tcBorders>
              <w:left w:val="single" w:color="000000" w:sz="4" w:space="0"/>
              <w:bottom w:val="single" w:color="000000" w:sz="4" w:space="0"/>
              <w:right w:val="single" w:color="000000" w:sz="4" w:space="0"/>
            </w:tcBorders>
            <w:noWrap w:val="0"/>
            <w:vAlign w:val="center"/>
          </w:tcPr>
          <w:p w14:paraId="7AEFB47F">
            <w:pPr>
              <w:pStyle w:val="45"/>
              <w:spacing w:line="360" w:lineRule="auto"/>
              <w:jc w:val="center"/>
              <w:rPr>
                <w:rFonts w:hint="eastAsia" w:ascii="宋体" w:hAnsi="宋体" w:eastAsia="宋体" w:cs="宋体"/>
                <w:b w:val="0"/>
                <w:sz w:val="24"/>
                <w:szCs w:val="24"/>
                <w:highlight w:val="none"/>
              </w:rPr>
            </w:pPr>
          </w:p>
        </w:tc>
        <w:tc>
          <w:tcPr>
            <w:tcW w:w="1356" w:type="pct"/>
            <w:tcBorders>
              <w:top w:val="single" w:color="000000" w:sz="4" w:space="0"/>
              <w:left w:val="single" w:color="000000" w:sz="4" w:space="0"/>
              <w:bottom w:val="single" w:color="000000" w:sz="4" w:space="0"/>
              <w:right w:val="single" w:color="000000" w:sz="4" w:space="0"/>
            </w:tcBorders>
            <w:noWrap w:val="0"/>
            <w:vAlign w:val="center"/>
          </w:tcPr>
          <w:p w14:paraId="30BE2EB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环境监控移动平台（APP）</w:t>
            </w:r>
          </w:p>
        </w:tc>
        <w:tc>
          <w:tcPr>
            <w:tcW w:w="1307" w:type="pct"/>
            <w:tcBorders>
              <w:top w:val="single" w:color="000000" w:sz="4" w:space="0"/>
              <w:left w:val="single" w:color="000000" w:sz="4" w:space="0"/>
              <w:bottom w:val="single" w:color="000000" w:sz="4" w:space="0"/>
              <w:right w:val="single" w:color="000000" w:sz="4" w:space="0"/>
            </w:tcBorders>
            <w:noWrap w:val="0"/>
            <w:vAlign w:val="center"/>
          </w:tcPr>
          <w:p w14:paraId="44B94A6F">
            <w:pPr>
              <w:spacing w:line="360" w:lineRule="auto"/>
              <w:jc w:val="center"/>
              <w:rPr>
                <w:rFonts w:hint="eastAsia" w:ascii="宋体" w:hAnsi="宋体" w:eastAsia="宋体" w:cs="宋体"/>
                <w:b w:val="0"/>
                <w:sz w:val="24"/>
                <w:szCs w:val="24"/>
                <w:highlight w:val="none"/>
              </w:rPr>
            </w:pPr>
            <w:r>
              <w:rPr>
                <w:rFonts w:hint="eastAsia" w:ascii="宋体" w:hAnsi="宋体" w:cs="宋体"/>
                <w:sz w:val="24"/>
                <w:szCs w:val="24"/>
                <w:lang w:val="en-US" w:eastAsia="zh-CN"/>
              </w:rPr>
              <w:t>定制</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7AF3A37">
            <w:pPr>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汇环</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30B65290">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1</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7595F1D4">
            <w:pPr>
              <w:pStyle w:val="45"/>
              <w:spacing w:line="360" w:lineRule="auto"/>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套</w:t>
            </w:r>
          </w:p>
        </w:tc>
      </w:tr>
    </w:tbl>
    <w:p w14:paraId="0BE7E8FC">
      <w:pPr>
        <w:keepNext w:val="0"/>
        <w:keepLines w:val="0"/>
        <w:widowControl/>
        <w:suppressLineNumbers w:val="0"/>
        <w:spacing w:line="360" w:lineRule="auto"/>
        <w:ind w:firstLine="442" w:firstLineChars="200"/>
        <w:jc w:val="left"/>
        <w:rPr>
          <w:rFonts w:hint="eastAsia" w:ascii="宋体" w:hAnsi="宋体" w:eastAsia="宋体" w:cs="宋体"/>
          <w:b/>
          <w:bCs/>
          <w:sz w:val="22"/>
          <w:szCs w:val="22"/>
          <w:highlight w:val="yellow"/>
          <w:lang w:val="en-US" w:eastAsia="zh-CN"/>
        </w:rPr>
      </w:pPr>
      <w:r>
        <w:rPr>
          <w:rFonts w:hint="eastAsia" w:ascii="宋体" w:hAnsi="宋体" w:eastAsia="宋体" w:cs="宋体"/>
          <w:b/>
          <w:bCs/>
          <w:sz w:val="22"/>
          <w:szCs w:val="22"/>
          <w:highlight w:val="yellow"/>
          <w:lang w:val="en-US" w:eastAsia="zh-CN"/>
        </w:rPr>
        <w:t>注：本项目为了保证响应供应商能全面了解本项目的实际情况避免盲目投标，特别提醒所有响应供应商需自行组织人员踏勘现场，踏勘前与采购人预约，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p>
    <w:p w14:paraId="7E87AB3F">
      <w:pPr>
        <w:keepNext w:val="0"/>
        <w:keepLines w:val="0"/>
        <w:widowControl/>
        <w:numPr>
          <w:ilvl w:val="0"/>
          <w:numId w:val="6"/>
        </w:numPr>
        <w:suppressLineNumbers w:val="0"/>
        <w:spacing w:line="360" w:lineRule="auto"/>
        <w:jc w:val="left"/>
        <w:rPr>
          <w:rFonts w:hint="eastAsia" w:eastAsia="宋体"/>
          <w:sz w:val="24"/>
          <w:szCs w:val="24"/>
          <w:lang w:val="en-US" w:eastAsia="zh-CN"/>
        </w:rPr>
      </w:pPr>
      <w:r>
        <w:rPr>
          <w:rFonts w:hint="eastAsia" w:ascii="宋体" w:hAnsi="宋体" w:eastAsia="宋体" w:cs="宋体"/>
          <w:sz w:val="24"/>
          <w:szCs w:val="24"/>
          <w:lang w:val="en-US" w:eastAsia="zh-CN"/>
        </w:rPr>
        <w:t>项目服务</w:t>
      </w:r>
      <w:r>
        <w:rPr>
          <w:rFonts w:hint="eastAsia" w:ascii="宋体" w:hAnsi="宋体" w:cs="宋体"/>
          <w:sz w:val="24"/>
          <w:szCs w:val="24"/>
          <w:lang w:val="en-US" w:eastAsia="zh-CN"/>
        </w:rPr>
        <w:t>总</w:t>
      </w:r>
      <w:r>
        <w:rPr>
          <w:rFonts w:hint="eastAsia" w:ascii="宋体" w:hAnsi="宋体" w:eastAsia="宋体" w:cs="宋体"/>
          <w:sz w:val="24"/>
          <w:szCs w:val="24"/>
          <w:lang w:val="en-US" w:eastAsia="zh-CN"/>
        </w:rPr>
        <w:t>要求</w:t>
      </w:r>
    </w:p>
    <w:p w14:paraId="0AE7C8A7">
      <w:pPr>
        <w:keepNext w:val="0"/>
        <w:keepLines w:val="0"/>
        <w:widowControl/>
        <w:numPr>
          <w:ilvl w:val="0"/>
          <w:numId w:val="0"/>
        </w:numPr>
        <w:suppressLineNumbers w:val="0"/>
        <w:spacing w:line="360" w:lineRule="auto"/>
        <w:jc w:val="left"/>
        <w:rPr>
          <w:rFonts w:hint="eastAsia" w:eastAsia="宋体"/>
          <w:b/>
          <w:bCs/>
          <w:sz w:val="24"/>
          <w:szCs w:val="24"/>
          <w:lang w:val="en-US" w:eastAsia="zh-CN"/>
        </w:rPr>
      </w:pPr>
      <w:r>
        <w:rPr>
          <w:rFonts w:hint="eastAsia" w:ascii="宋体" w:hAnsi="宋体" w:cs="宋体"/>
          <w:b/>
          <w:bCs/>
          <w:color w:val="000000"/>
          <w:kern w:val="0"/>
          <w:sz w:val="24"/>
          <w:szCs w:val="24"/>
          <w:lang w:val="en-US" w:eastAsia="zh-CN" w:bidi="ar"/>
        </w:rPr>
        <w:t>1</w:t>
      </w:r>
      <w:r>
        <w:rPr>
          <w:rFonts w:hint="eastAsia" w:ascii="宋体" w:hAnsi="宋体" w:eastAsia="宋体" w:cs="宋体"/>
          <w:b/>
          <w:bCs/>
          <w:color w:val="000000"/>
          <w:kern w:val="0"/>
          <w:sz w:val="24"/>
          <w:szCs w:val="24"/>
          <w:lang w:val="en-US" w:eastAsia="zh-CN" w:bidi="ar"/>
        </w:rPr>
        <w:t>.</w:t>
      </w:r>
      <w:r>
        <w:rPr>
          <w:rFonts w:hint="eastAsia"/>
          <w:b/>
          <w:bCs/>
          <w:sz w:val="24"/>
          <w:szCs w:val="24"/>
          <w:lang w:val="en-US" w:eastAsia="zh-CN"/>
        </w:rPr>
        <w:t>中标单位严禁转包，必须由中标单位负责各站的运维与管理工作。</w:t>
      </w:r>
    </w:p>
    <w:p w14:paraId="17A106F8">
      <w:pPr>
        <w:keepNext w:val="0"/>
        <w:keepLines w:val="0"/>
        <w:widowControl/>
        <w:suppressLineNumbers w:val="0"/>
        <w:spacing w:line="360" w:lineRule="auto"/>
        <w:jc w:val="left"/>
        <w:rPr>
          <w:rFonts w:hint="eastAsia" w:ascii="宋体" w:hAnsi="宋体" w:eastAsia="宋体" w:cs="宋体"/>
          <w:b/>
          <w:bCs/>
          <w:sz w:val="24"/>
          <w:szCs w:val="24"/>
        </w:rPr>
      </w:pPr>
      <w:r>
        <w:rPr>
          <w:rFonts w:hint="eastAsia" w:ascii="宋体" w:hAnsi="宋体" w:cs="宋体"/>
          <w:b/>
          <w:bCs/>
          <w:color w:val="000000"/>
          <w:kern w:val="0"/>
          <w:sz w:val="24"/>
          <w:szCs w:val="24"/>
          <w:lang w:val="en-US" w:eastAsia="zh-CN" w:bidi="ar"/>
        </w:rPr>
        <w:t>2</w:t>
      </w:r>
      <w:r>
        <w:rPr>
          <w:rFonts w:hint="eastAsia" w:ascii="宋体" w:hAnsi="宋体" w:eastAsia="宋体" w:cs="宋体"/>
          <w:b/>
          <w:bCs/>
          <w:color w:val="000000"/>
          <w:kern w:val="0"/>
          <w:sz w:val="24"/>
          <w:szCs w:val="24"/>
          <w:lang w:val="en-US" w:eastAsia="zh-CN" w:bidi="ar"/>
        </w:rPr>
        <w:t>.运维实施</w:t>
      </w:r>
      <w:r>
        <w:rPr>
          <w:rFonts w:hint="eastAsia" w:ascii="宋体" w:hAnsi="宋体" w:cs="宋体"/>
          <w:b/>
          <w:bCs/>
          <w:color w:val="000000"/>
          <w:kern w:val="0"/>
          <w:sz w:val="24"/>
          <w:szCs w:val="24"/>
          <w:lang w:val="en-US" w:eastAsia="zh-CN" w:bidi="ar"/>
        </w:rPr>
        <w:t>整体</w:t>
      </w:r>
      <w:r>
        <w:rPr>
          <w:rFonts w:hint="eastAsia" w:ascii="宋体" w:hAnsi="宋体" w:eastAsia="宋体" w:cs="宋体"/>
          <w:b/>
          <w:bCs/>
          <w:color w:val="000000"/>
          <w:kern w:val="0"/>
          <w:sz w:val="24"/>
          <w:szCs w:val="24"/>
          <w:lang w:val="en-US" w:eastAsia="zh-CN" w:bidi="ar"/>
        </w:rPr>
        <w:t xml:space="preserve">要求 </w:t>
      </w:r>
    </w:p>
    <w:p w14:paraId="0A8A3931">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全面负责运营期内水站（站房、所有仪器设备等）的日常运营及管理。 </w:t>
      </w:r>
    </w:p>
    <w:p w14:paraId="00813795">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（1）运营及管理期间必须遵守国家的有关法律、法规及其他规定，依照有关规范和技术要求，使水站的运行结果达到采购人的考核指标要求，充分发挥水质自动监测系统的效能； </w:t>
      </w:r>
    </w:p>
    <w:p w14:paraId="1AE56E90">
      <w:pPr>
        <w:keepNext w:val="0"/>
        <w:keepLines w:val="0"/>
        <w:widowControl/>
        <w:suppressLineNumbers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（2）运营及管理期间，</w:t>
      </w:r>
      <w:r>
        <w:rPr>
          <w:rFonts w:hint="eastAsia" w:ascii="宋体" w:hAnsi="宋体" w:cs="宋体"/>
          <w:color w:val="000000"/>
          <w:kern w:val="0"/>
          <w:sz w:val="24"/>
          <w:szCs w:val="24"/>
          <w:lang w:val="en-US" w:eastAsia="zh-CN" w:bidi="ar"/>
        </w:rPr>
        <w:t>电费、</w:t>
      </w:r>
      <w:r>
        <w:rPr>
          <w:rFonts w:hint="eastAsia" w:ascii="宋体" w:hAnsi="宋体" w:eastAsia="宋体" w:cs="宋体"/>
          <w:color w:val="000000"/>
          <w:kern w:val="0"/>
          <w:sz w:val="24"/>
          <w:szCs w:val="24"/>
          <w:lang w:val="en-US" w:eastAsia="zh-CN" w:bidi="ar"/>
        </w:rPr>
        <w:t xml:space="preserve">通讯费、试剂耗材、仪器设备维修、设施设备的保养和水站安全保障所发生的费用等均由中标人支付； </w:t>
      </w:r>
    </w:p>
    <w:p w14:paraId="607BB5F9">
      <w:pPr>
        <w:keepNext w:val="0"/>
        <w:keepLines w:val="0"/>
        <w:widowControl/>
        <w:suppressLineNumbers w:val="0"/>
        <w:spacing w:line="360" w:lineRule="auto"/>
        <w:ind w:firstLine="480" w:firstLineChars="200"/>
        <w:jc w:val="left"/>
        <w:rPr>
          <w:rFonts w:hint="default"/>
          <w:lang w:val="en-US"/>
        </w:rPr>
      </w:pPr>
      <w:r>
        <w:rPr>
          <w:rFonts w:hint="eastAsia" w:ascii="宋体" w:hAnsi="宋体" w:eastAsia="宋体" w:cs="宋体"/>
          <w:color w:val="000000"/>
          <w:kern w:val="0"/>
          <w:sz w:val="24"/>
          <w:szCs w:val="24"/>
          <w:lang w:val="en-US" w:eastAsia="zh-CN" w:bidi="ar"/>
        </w:rPr>
        <w:t>（3）中标人相关技术人员具有相关的专业知识</w:t>
      </w:r>
      <w:r>
        <w:rPr>
          <w:rFonts w:hint="eastAsia" w:ascii="宋体" w:hAnsi="宋体" w:cs="宋体"/>
          <w:color w:val="000000"/>
          <w:kern w:val="0"/>
          <w:sz w:val="24"/>
          <w:szCs w:val="24"/>
          <w:lang w:val="en-US" w:eastAsia="zh-CN" w:bidi="ar"/>
        </w:rPr>
        <w:t>，运维人员必须持证上岗</w:t>
      </w:r>
      <w:r>
        <w:rPr>
          <w:rFonts w:hint="eastAsia" w:ascii="宋体" w:hAnsi="宋体" w:eastAsia="宋体" w:cs="宋体"/>
          <w:color w:val="000000"/>
          <w:kern w:val="0"/>
          <w:sz w:val="24"/>
          <w:szCs w:val="24"/>
          <w:lang w:val="en-US" w:eastAsia="zh-CN" w:bidi="ar"/>
        </w:rPr>
        <w:t xml:space="preserve">，能独立运营及管理水站。 </w:t>
      </w:r>
    </w:p>
    <w:p w14:paraId="11007C38">
      <w:pPr>
        <w:keepNext w:val="0"/>
        <w:keepLines w:val="0"/>
        <w:widowControl/>
        <w:suppressLineNumbers w:val="0"/>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3.水质自动监测站运维服务内容及要求</w:t>
      </w:r>
    </w:p>
    <w:p w14:paraId="07596A6F">
      <w:pPr>
        <w:pStyle w:val="15"/>
        <w:rPr>
          <w:rFonts w:hint="eastAsia"/>
          <w:color w:val="000000"/>
          <w:sz w:val="24"/>
          <w:szCs w:val="24"/>
          <w:lang w:val="en-US" w:eastAsia="zh-CN"/>
        </w:rPr>
      </w:pPr>
      <w:r>
        <w:rPr>
          <w:rFonts w:hint="eastAsia"/>
          <w:lang w:val="en-US" w:eastAsia="zh-CN"/>
        </w:rPr>
        <w:t xml:space="preserve">    </w:t>
      </w:r>
      <w:r>
        <w:rPr>
          <w:rFonts w:hint="eastAsia"/>
          <w:b/>
          <w:bCs/>
          <w:color w:val="FF0000"/>
          <w:sz w:val="24"/>
          <w:szCs w:val="24"/>
          <w:lang w:val="en-US" w:eastAsia="zh-CN"/>
        </w:rPr>
        <w:t xml:space="preserve"> </w:t>
      </w:r>
      <w:r>
        <w:rPr>
          <w:rFonts w:hint="eastAsia"/>
          <w:b/>
          <w:bCs/>
          <w:color w:val="000000"/>
          <w:sz w:val="24"/>
          <w:szCs w:val="24"/>
          <w:lang w:val="en-US" w:eastAsia="zh-CN"/>
        </w:rPr>
        <w:t>每日水站运维要求。</w:t>
      </w:r>
    </w:p>
    <w:p w14:paraId="3B0F6A2E">
      <w:pPr>
        <w:pStyle w:val="15"/>
        <w:ind w:firstLine="480" w:firstLineChars="200"/>
        <w:rPr>
          <w:rFonts w:hint="eastAsia"/>
          <w:color w:val="000000"/>
          <w:sz w:val="24"/>
          <w:szCs w:val="24"/>
          <w:lang w:val="en-US" w:eastAsia="zh-CN"/>
        </w:rPr>
      </w:pPr>
      <w:r>
        <w:rPr>
          <w:rFonts w:hint="eastAsia"/>
          <w:color w:val="000000"/>
          <w:sz w:val="24"/>
          <w:szCs w:val="24"/>
          <w:lang w:val="en-US" w:eastAsia="zh-CN"/>
        </w:rPr>
        <w:t>每日上报运维日报，遇有数据异常及时进行处置，查找原因，并上报甲方。</w:t>
      </w:r>
    </w:p>
    <w:p w14:paraId="3D7C269F">
      <w:pPr>
        <w:pStyle w:val="8"/>
        <w:ind w:left="0" w:leftChars="0" w:firstLine="0" w:firstLineChars="0"/>
        <w:rPr>
          <w:rFonts w:hint="eastAsia" w:ascii="宋体" w:hAnsi="宋体" w:eastAsia="宋体" w:cs="宋体"/>
          <w:color w:val="000000"/>
          <w:kern w:val="0"/>
          <w:sz w:val="24"/>
          <w:szCs w:val="24"/>
          <w:highlight w:val="none"/>
          <w:lang w:val="en-US" w:eastAsia="zh-CN" w:bidi="ar"/>
        </w:rPr>
      </w:pPr>
      <w:r>
        <w:rPr>
          <w:rFonts w:hint="eastAsia"/>
          <w:color w:val="000000"/>
          <w:sz w:val="24"/>
          <w:szCs w:val="24"/>
          <w:lang w:val="en-US" w:eastAsia="zh-CN"/>
        </w:rPr>
        <w:t xml:space="preserve">    上报限值限量平台数据每天进行一级审核。</w:t>
      </w:r>
      <w:r>
        <w:rPr>
          <w:rFonts w:hint="eastAsia" w:ascii="宋体" w:hAnsi="宋体" w:eastAsia="宋体" w:cs="宋体"/>
          <w:color w:val="000000"/>
          <w:kern w:val="0"/>
          <w:sz w:val="24"/>
          <w:szCs w:val="24"/>
          <w:highlight w:val="none"/>
          <w:lang w:val="en-US" w:eastAsia="zh-CN" w:bidi="ar"/>
        </w:rPr>
        <w:t xml:space="preserve"> </w:t>
      </w:r>
    </w:p>
    <w:p w14:paraId="5400FE6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检查采水点周边环境，记录水体颜色、嗅味、水位变化等情况，及时清理漂浮物等杂物；当水位发生较大变化时应调整采水口位置以保障采水正常；在封冻期前做好采排水管路和站房保温等维护工作。 </w:t>
      </w:r>
    </w:p>
    <w:p w14:paraId="0802607A">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通过回看视频确认采水设施、站房是否存在异常情况。 </w:t>
      </w:r>
    </w:p>
    <w:p w14:paraId="1667711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查看站房内外运行环境，确认室内温度、湿度等条件是否满足要求，保持站房内干净整洁，检查站房外部安防等设施是否正常。 </w:t>
      </w:r>
    </w:p>
    <w:p w14:paraId="193265F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检查采配水单元是否正常，包括采水浮筒固定情况、采水泵、增压泵、空气泵、手阀、电动阀工作状态以及采排水管路是否存在漏液或堵塞情况，必要时应清洗并排除故障。 </w:t>
      </w:r>
    </w:p>
    <w:p w14:paraId="0AA9FFBC">
      <w:pPr>
        <w:keepNext w:val="0"/>
        <w:keepLines w:val="0"/>
        <w:widowControl/>
        <w:suppressLineNumbers w:val="0"/>
        <w:spacing w:line="360" w:lineRule="auto"/>
        <w:ind w:firstLine="482" w:firstLineChars="200"/>
        <w:jc w:val="left"/>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每周应按照以下要求采用人工或自动等方式开展维护。</w:t>
      </w:r>
    </w:p>
    <w:p w14:paraId="5114B85B">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查看水质自动监测仪器及空压机、不间断电源（UPS）等辅助设备是否正常，必要时应更换耗材。 </w:t>
      </w:r>
    </w:p>
    <w:p w14:paraId="5C7A4B2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检查水质自动监测仪器、控制单元、监控中心平台三者监测数据和运行日志是否一致。 </w:t>
      </w:r>
    </w:p>
    <w:p w14:paraId="449C708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查看试剂使用状况，及时添加或更换试剂，试剂使用时间最长不超过 90 d。 </w:t>
      </w:r>
    </w:p>
    <w:p w14:paraId="3422FA61">
      <w:pPr>
        <w:keepNext w:val="0"/>
        <w:keepLines w:val="0"/>
        <w:widowControl/>
        <w:suppressLineNumbers w:val="0"/>
        <w:spacing w:line="360" w:lineRule="auto"/>
        <w:ind w:firstLine="480" w:firstLineChars="200"/>
        <w:jc w:val="left"/>
        <w:rPr>
          <w:rFonts w:hint="default"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查看废液收集情况，避免出现泄漏等情况</w:t>
      </w:r>
      <w:r>
        <w:rPr>
          <w:rFonts w:hint="eastAsia" w:ascii="宋体" w:hAnsi="宋体" w:eastAsia="宋体" w:cs="宋体"/>
          <w:color w:val="000000"/>
          <w:kern w:val="0"/>
          <w:sz w:val="24"/>
          <w:szCs w:val="24"/>
          <w:highlight w:val="none"/>
          <w:lang w:val="en-US" w:eastAsia="zh-CN" w:bidi="ar"/>
        </w:rPr>
        <w:t>，废液必须统一收集管理，并交由危废处置资质的企业进行处理</w:t>
      </w:r>
      <w:r>
        <w:rPr>
          <w:rFonts w:hint="default" w:ascii="宋体" w:hAnsi="宋体" w:eastAsia="宋体" w:cs="宋体"/>
          <w:color w:val="000000"/>
          <w:kern w:val="0"/>
          <w:sz w:val="24"/>
          <w:szCs w:val="24"/>
          <w:highlight w:val="none"/>
          <w:lang w:val="en-US" w:eastAsia="zh-CN" w:bidi="ar"/>
        </w:rPr>
        <w:t>。</w:t>
      </w:r>
    </w:p>
    <w:p w14:paraId="017F11AD">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应及时清除站房周围的杂草和积水，检查站房是否有漏水现象，站房外围的其他设施是否有</w:t>
      </w:r>
      <w:r>
        <w:rPr>
          <w:rFonts w:hint="default" w:ascii="宋体" w:hAnsi="宋体" w:eastAsia="宋体" w:cs="宋体"/>
          <w:color w:val="000000"/>
          <w:kern w:val="0"/>
          <w:sz w:val="24"/>
          <w:szCs w:val="24"/>
          <w:highlight w:val="none"/>
          <w:lang w:val="en-US" w:eastAsia="zh-CN" w:bidi="ar"/>
        </w:rPr>
        <w:t>损坏或被水淹没</w:t>
      </w:r>
      <w:r>
        <w:rPr>
          <w:rFonts w:hint="eastAsia" w:ascii="宋体" w:hAnsi="宋体" w:eastAsia="宋体" w:cs="宋体"/>
          <w:color w:val="000000"/>
          <w:kern w:val="0"/>
          <w:sz w:val="24"/>
          <w:szCs w:val="24"/>
          <w:highlight w:val="none"/>
          <w:lang w:val="en-US" w:eastAsia="zh-CN" w:bidi="ar"/>
        </w:rPr>
        <w:t>并及时修复。</w:t>
      </w:r>
    </w:p>
    <w:p w14:paraId="07AEC092">
      <w:pPr>
        <w:keepNext w:val="0"/>
        <w:keepLines w:val="0"/>
        <w:widowControl/>
        <w:numPr>
          <w:ilvl w:val="0"/>
          <w:numId w:val="0"/>
        </w:numPr>
        <w:suppressLineNumbers w:val="0"/>
        <w:spacing w:line="360" w:lineRule="auto"/>
        <w:ind w:leftChars="0" w:firstLine="482" w:firstLineChars="200"/>
        <w:jc w:val="left"/>
        <w:rPr>
          <w:rFonts w:hint="eastAsia" w:ascii="宋体" w:hAnsi="宋体" w:eastAsia="宋体" w:cs="宋体"/>
          <w:b/>
          <w:bCs/>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每月应按照以下要求采用人工或自动等方式开展维护</w:t>
      </w:r>
      <w:r>
        <w:rPr>
          <w:rFonts w:hint="eastAsia" w:ascii="宋体" w:hAnsi="宋体" w:eastAsia="宋体" w:cs="宋体"/>
          <w:b/>
          <w:bCs/>
          <w:color w:val="000000"/>
          <w:kern w:val="0"/>
          <w:sz w:val="24"/>
          <w:szCs w:val="24"/>
          <w:highlight w:val="none"/>
          <w:lang w:val="en-US" w:eastAsia="zh-CN" w:bidi="ar"/>
        </w:rPr>
        <w:t>。</w:t>
      </w:r>
      <w:r>
        <w:rPr>
          <w:rFonts w:hint="default" w:ascii="宋体" w:hAnsi="宋体" w:eastAsia="宋体" w:cs="宋体"/>
          <w:b/>
          <w:bCs/>
          <w:color w:val="000000"/>
          <w:kern w:val="0"/>
          <w:sz w:val="24"/>
          <w:szCs w:val="24"/>
          <w:highlight w:val="none"/>
          <w:lang w:val="en-US" w:eastAsia="zh-CN" w:bidi="ar"/>
        </w:rPr>
        <w:t xml:space="preserve"> </w:t>
      </w:r>
    </w:p>
    <w:p w14:paraId="37AA4A74">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清洗采水单元、配水与预处理单元；  </w:t>
      </w:r>
    </w:p>
    <w:p w14:paraId="33C1AA8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检查稳压电源及不间断电源（UPS）输出是否符合要求； </w:t>
      </w:r>
    </w:p>
    <w:p w14:paraId="5925070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检查视频设备功能是否正常，发现问题应及时处置； </w:t>
      </w:r>
    </w:p>
    <w:p w14:paraId="58F3423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检查空气压缩机和清水增压泵的工作状态。 </w:t>
      </w:r>
    </w:p>
    <w:p w14:paraId="6B78BB0D">
      <w:pPr>
        <w:keepNext w:val="0"/>
        <w:keepLines w:val="0"/>
        <w:widowControl/>
        <w:numPr>
          <w:ilvl w:val="0"/>
          <w:numId w:val="0"/>
        </w:numPr>
        <w:suppressLineNumbers w:val="0"/>
        <w:spacing w:line="360" w:lineRule="auto"/>
        <w:ind w:firstLine="482"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每季度应按照以下要求采用人工或自动等方式开展维护</w:t>
      </w:r>
      <w:r>
        <w:rPr>
          <w:rFonts w:hint="eastAsia" w:ascii="宋体" w:hAnsi="宋体" w:eastAsia="宋体" w:cs="宋体"/>
          <w:b/>
          <w:bCs/>
          <w:color w:val="000000"/>
          <w:kern w:val="0"/>
          <w:sz w:val="24"/>
          <w:szCs w:val="24"/>
          <w:highlight w:val="none"/>
          <w:lang w:val="en-US" w:eastAsia="zh-CN" w:bidi="ar"/>
        </w:rPr>
        <w:t>。</w:t>
      </w:r>
      <w:r>
        <w:rPr>
          <w:rFonts w:hint="default" w:ascii="宋体" w:hAnsi="宋体" w:eastAsia="宋体" w:cs="宋体"/>
          <w:color w:val="000000"/>
          <w:kern w:val="0"/>
          <w:sz w:val="24"/>
          <w:szCs w:val="24"/>
          <w:highlight w:val="none"/>
          <w:lang w:val="en-US" w:eastAsia="zh-CN" w:bidi="ar"/>
        </w:rPr>
        <w:t xml:space="preserve"> </w:t>
      </w:r>
    </w:p>
    <w:p w14:paraId="5760616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启停各泵、阀，检查工作状态是否正常； </w:t>
      </w:r>
    </w:p>
    <w:p w14:paraId="6B48EBE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检查控制单元软硬件运行状态是否正常。 </w:t>
      </w:r>
    </w:p>
    <w:p w14:paraId="72A7D9DA">
      <w:pPr>
        <w:keepNext w:val="0"/>
        <w:keepLines w:val="0"/>
        <w:widowControl/>
        <w:numPr>
          <w:ilvl w:val="0"/>
          <w:numId w:val="0"/>
        </w:numPr>
        <w:suppressLineNumbers w:val="0"/>
        <w:spacing w:line="360" w:lineRule="auto"/>
        <w:ind w:leftChars="0" w:firstLine="482" w:firstLineChars="200"/>
        <w:jc w:val="left"/>
        <w:rPr>
          <w:rFonts w:hint="eastAsia" w:ascii="宋体" w:hAnsi="宋体" w:eastAsia="宋体" w:cs="宋体"/>
          <w:b/>
          <w:bCs/>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每年应按照以下要求开展维护</w:t>
      </w:r>
      <w:r>
        <w:rPr>
          <w:rFonts w:hint="eastAsia" w:ascii="宋体" w:hAnsi="宋体" w:eastAsia="宋体" w:cs="宋体"/>
          <w:b/>
          <w:bCs/>
          <w:color w:val="000000"/>
          <w:kern w:val="0"/>
          <w:sz w:val="24"/>
          <w:szCs w:val="24"/>
          <w:highlight w:val="none"/>
          <w:lang w:val="en-US" w:eastAsia="zh-CN" w:bidi="ar"/>
        </w:rPr>
        <w:t>。</w:t>
      </w:r>
    </w:p>
    <w:p w14:paraId="1E339B70">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 xml:space="preserve">对站房及仪器设备开展全面养护； </w:t>
      </w:r>
    </w:p>
    <w:p w14:paraId="221F488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根据要求或结合实际运行情况，定期更换光源、电极、泵、阀、传感器等关键零部件及泵管等易耗品。</w:t>
      </w:r>
    </w:p>
    <w:p w14:paraId="64267108">
      <w:pPr>
        <w:pStyle w:val="15"/>
      </w:pPr>
    </w:p>
    <w:p w14:paraId="62402432">
      <w:pPr>
        <w:pStyle w:val="10"/>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4.环境监测监控软件平台运维服务内容及要求</w:t>
      </w:r>
    </w:p>
    <w:p w14:paraId="3BFD504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总体要求：提供符合国家和行业标准规范的IT运维服务，确保软件平台的可用性、连续性和安全性。</w:t>
      </w:r>
    </w:p>
    <w:p w14:paraId="1BF3A90C">
      <w:pPr>
        <w:pStyle w:val="15"/>
        <w:rPr>
          <w:rFonts w:hint="default"/>
          <w:lang w:val="en-US" w:eastAsia="zh-CN"/>
        </w:rPr>
      </w:pPr>
      <w:r>
        <w:rPr>
          <w:rFonts w:hint="eastAsia" w:ascii="宋体" w:hAnsi="宋体" w:eastAsia="宋体" w:cs="宋体"/>
          <w:color w:val="000000"/>
          <w:kern w:val="0"/>
          <w:sz w:val="24"/>
          <w:szCs w:val="24"/>
          <w:highlight w:val="none"/>
          <w:lang w:val="en-US" w:eastAsia="zh-CN" w:bidi="ar"/>
        </w:rPr>
        <w:t xml:space="preserve">    提供手机终端适时数据服务，随时调取各站点检测数据，数据异常适时提醒功能等。</w:t>
      </w:r>
    </w:p>
    <w:p w14:paraId="2B46FFCA">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建立完善的软件平台服务级别管理过程、服务报告管理过程、事件管理过程、问题管理过程、配置管理过程、变更管理过程、发布管理过程和安全管理过程，协助采购方建立完善的信息化运维管理体系。</w:t>
      </w:r>
    </w:p>
    <w:p w14:paraId="3452634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根据新政策和文件及时对业务功能模块及数据存储格式，采集方式进行调整，以保证系统状态符合最新政策文件要求。</w:t>
      </w:r>
    </w:p>
    <w:p w14:paraId="6FE46A6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承担定期巡检服务，提供软件平台功能、性能、安全检查服务，加强信息安全的巡查和值守，实时发现和处理系统安全漏洞，确保系统安全稳定运行。</w:t>
      </w:r>
    </w:p>
    <w:p w14:paraId="0A7DE9AE">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提供系统状态监控服务，对软件平台进行定期维护升级，保证系统正常高效运行。</w:t>
      </w:r>
    </w:p>
    <w:p w14:paraId="07B7650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及时解答采购方在平台使用过程中遇到的疑问，并随时提供有效的技术咨询服务。</w:t>
      </w:r>
    </w:p>
    <w:p w14:paraId="713FFBC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能够根据业主的要求或行业管理的要求，对平台进行功能的升级。（投标单位需对该项内容提供承诺函，否则投标无效）</w:t>
      </w:r>
    </w:p>
    <w:p w14:paraId="588CC0CC">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中标单位应在发生突发事件时，根据采购人的要求和指挥，及时响应并组织各种力量进行突发事件的处置和保障。</w:t>
      </w:r>
    </w:p>
    <w:p w14:paraId="1AFDECA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配合采购方进行安全性检查和漏洞修补。</w:t>
      </w:r>
    </w:p>
    <w:p w14:paraId="16BD5540">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5.运维应急预案要求 </w:t>
      </w:r>
    </w:p>
    <w:p w14:paraId="7EB23DFD">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针对异常数据、系统故障和数据缺失等情况，中标人必须建立一套完整的应急维护方案。 </w:t>
      </w:r>
    </w:p>
    <w:p w14:paraId="5143EE2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水站仪器发生故障时，中标人应及时响应（响应时间不超过8小时），并在24小时内解决所有的故障，如故障不能排除，应在48小时内更换备机；</w:t>
      </w:r>
    </w:p>
    <w:p w14:paraId="3A89D923">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6.运营及管理质量控制要求 </w:t>
      </w:r>
    </w:p>
    <w:p w14:paraId="3FB26088">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中标人定期对地表水水质自动监测系统开展质量控制工作，保证监测数据有效率不低于 </w:t>
      </w:r>
      <w:r>
        <w:rPr>
          <w:rFonts w:hint="eastAsia" w:ascii="宋体" w:hAnsi="宋体" w:cs="宋体"/>
          <w:color w:val="000000"/>
          <w:kern w:val="0"/>
          <w:sz w:val="24"/>
          <w:szCs w:val="24"/>
          <w:lang w:val="en-US" w:eastAsia="zh-CN" w:bidi="ar"/>
        </w:rPr>
        <w:t>9</w:t>
      </w:r>
      <w:r>
        <w:rPr>
          <w:rFonts w:hint="eastAsia" w:ascii="宋体" w:hAnsi="宋体" w:eastAsia="宋体" w:cs="宋体"/>
          <w:color w:val="000000"/>
          <w:kern w:val="0"/>
          <w:sz w:val="24"/>
          <w:szCs w:val="24"/>
          <w:lang w:val="en-US" w:eastAsia="zh-CN" w:bidi="ar"/>
        </w:rPr>
        <w:t xml:space="preserve">0%。各项质控措施测试结果应符合《地表水自动监测技术规范》（HJ 915-2017）要求。 </w:t>
      </w:r>
    </w:p>
    <w:p w14:paraId="38D04DB7">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7.数据要求 </w:t>
      </w:r>
    </w:p>
    <w:p w14:paraId="0F997EDC">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中标人必须保证数据有效、及时地交给采购人，数据应以电子报表的形式为主呈送，数据报表包含：原始数据、时均值、日均值、月均值等，中标人在运维期间应注意数据的安全与保存。未经采购人允许，不得将数据提供给任何单位和个人。 </w:t>
      </w:r>
    </w:p>
    <w:p w14:paraId="604B13F7">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（2）数据采集间隔为</w:t>
      </w:r>
      <w:r>
        <w:rPr>
          <w:rFonts w:hint="eastAsia" w:ascii="宋体" w:hAnsi="宋体" w:eastAsia="宋体" w:cs="宋体"/>
          <w:color w:val="FF0000"/>
          <w:kern w:val="0"/>
          <w:sz w:val="24"/>
          <w:szCs w:val="24"/>
          <w:lang w:val="en-US" w:eastAsia="zh-CN" w:bidi="ar"/>
        </w:rPr>
        <w:t xml:space="preserve"> </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小时，每天每站点采集 </w:t>
      </w:r>
      <w:r>
        <w:rPr>
          <w:rFonts w:hint="eastAsia" w:ascii="宋体" w:hAnsi="宋体" w:cs="宋体"/>
          <w:color w:val="000000"/>
          <w:kern w:val="0"/>
          <w:sz w:val="24"/>
          <w:szCs w:val="24"/>
          <w:lang w:val="en-US" w:eastAsia="zh-CN" w:bidi="ar"/>
        </w:rPr>
        <w:t>12</w:t>
      </w:r>
      <w:r>
        <w:rPr>
          <w:rFonts w:hint="eastAsia" w:ascii="宋体" w:hAnsi="宋体" w:eastAsia="宋体" w:cs="宋体"/>
          <w:color w:val="000000"/>
          <w:kern w:val="0"/>
          <w:sz w:val="24"/>
          <w:szCs w:val="24"/>
          <w:lang w:val="en-US" w:eastAsia="zh-CN" w:bidi="ar"/>
        </w:rPr>
        <w:t>组数据，每月采集</w:t>
      </w:r>
      <w:r>
        <w:rPr>
          <w:rFonts w:hint="eastAsia" w:ascii="宋体" w:hAnsi="宋体" w:cs="宋体"/>
          <w:color w:val="000000"/>
          <w:kern w:val="0"/>
          <w:sz w:val="24"/>
          <w:szCs w:val="24"/>
          <w:lang w:val="en-US" w:eastAsia="zh-CN" w:bidi="ar"/>
        </w:rPr>
        <w:t>360</w:t>
      </w:r>
      <w:r>
        <w:rPr>
          <w:rFonts w:hint="eastAsia" w:ascii="宋体" w:hAnsi="宋体" w:eastAsia="宋体" w:cs="宋体"/>
          <w:color w:val="000000"/>
          <w:kern w:val="0"/>
          <w:sz w:val="24"/>
          <w:szCs w:val="24"/>
          <w:lang w:val="en-US" w:eastAsia="zh-CN" w:bidi="ar"/>
        </w:rPr>
        <w:t xml:space="preserve"> 组数据，如遇停电等客观原因造成的数据缺失除外。 </w:t>
      </w:r>
    </w:p>
    <w:p w14:paraId="3BF21FE3">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（3）为保证数据的有效性，中标人需接受采购人对数据有效性的</w:t>
      </w:r>
      <w:r>
        <w:rPr>
          <w:rFonts w:hint="eastAsia" w:ascii="宋体" w:hAnsi="宋体" w:cs="宋体"/>
          <w:color w:val="000000"/>
          <w:kern w:val="0"/>
          <w:sz w:val="24"/>
          <w:szCs w:val="24"/>
          <w:lang w:val="en-US" w:eastAsia="zh-CN" w:bidi="ar"/>
        </w:rPr>
        <w:t>审</w:t>
      </w:r>
      <w:r>
        <w:rPr>
          <w:rFonts w:hint="eastAsia" w:ascii="宋体" w:hAnsi="宋体" w:eastAsia="宋体" w:cs="宋体"/>
          <w:color w:val="000000"/>
          <w:kern w:val="0"/>
          <w:sz w:val="24"/>
          <w:szCs w:val="24"/>
          <w:lang w:val="en-US" w:eastAsia="zh-CN" w:bidi="ar"/>
        </w:rPr>
        <w:t>核，</w:t>
      </w:r>
      <w:r>
        <w:rPr>
          <w:rFonts w:hint="eastAsia" w:ascii="宋体" w:hAnsi="宋体" w:cs="宋体"/>
          <w:color w:val="000000"/>
          <w:kern w:val="0"/>
          <w:sz w:val="24"/>
          <w:szCs w:val="24"/>
          <w:lang w:val="en-US" w:eastAsia="zh-CN" w:bidi="ar"/>
        </w:rPr>
        <w:t>审</w:t>
      </w:r>
      <w:r>
        <w:rPr>
          <w:rFonts w:hint="eastAsia" w:ascii="宋体" w:hAnsi="宋体" w:eastAsia="宋体" w:cs="宋体"/>
          <w:color w:val="000000"/>
          <w:kern w:val="0"/>
          <w:sz w:val="24"/>
          <w:szCs w:val="24"/>
          <w:lang w:val="en-US" w:eastAsia="zh-CN" w:bidi="ar"/>
        </w:rPr>
        <w:t>核办法另</w:t>
      </w:r>
      <w:r>
        <w:rPr>
          <w:rFonts w:hint="eastAsia" w:ascii="宋体" w:hAnsi="宋体" w:cs="宋体"/>
          <w:color w:val="000000"/>
          <w:kern w:val="0"/>
          <w:sz w:val="24"/>
          <w:szCs w:val="24"/>
          <w:lang w:val="en-US" w:eastAsia="zh-CN" w:bidi="ar"/>
        </w:rPr>
        <w:t>定</w:t>
      </w:r>
      <w:r>
        <w:rPr>
          <w:rFonts w:hint="eastAsia" w:ascii="宋体" w:hAnsi="宋体" w:eastAsia="宋体" w:cs="宋体"/>
          <w:color w:val="000000"/>
          <w:kern w:val="0"/>
          <w:sz w:val="24"/>
          <w:szCs w:val="24"/>
          <w:lang w:val="en-US" w:eastAsia="zh-CN" w:bidi="ar"/>
        </w:rPr>
        <w:t xml:space="preserve">。 </w:t>
      </w:r>
    </w:p>
    <w:p w14:paraId="14AED877">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（4）数据质量要求 </w:t>
      </w:r>
    </w:p>
    <w:p w14:paraId="22521840">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每个点位每月有效数据获取率大于等于 80％(因地震、洪水等不可抗拒因素除外)。 </w:t>
      </w:r>
    </w:p>
    <w:p w14:paraId="3BDA1249">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（5）数据有效性判断 </w:t>
      </w:r>
    </w:p>
    <w:p w14:paraId="08572D1F">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数据的有效性由考核方根据中标人提供的监测断面历史数据、当期运维报告、比对报告等进行判断。 </w:t>
      </w:r>
    </w:p>
    <w:p w14:paraId="179543BA">
      <w:pPr>
        <w:keepNext w:val="0"/>
        <w:keepLines w:val="0"/>
        <w:widowControl/>
        <w:suppressLineNumbers w:val="0"/>
        <w:spacing w:line="360" w:lineRule="auto"/>
        <w:ind w:firstLine="480" w:firstLineChars="200"/>
        <w:jc w:val="left"/>
        <w:rPr>
          <w:rFonts w:hint="eastAsia" w:eastAsia="宋体"/>
          <w:lang w:val="en-US" w:eastAsia="zh-CN"/>
        </w:rPr>
      </w:pPr>
      <w:r>
        <w:rPr>
          <w:rFonts w:hint="eastAsia" w:ascii="宋体" w:hAnsi="宋体" w:eastAsia="宋体" w:cs="宋体"/>
          <w:color w:val="000000"/>
          <w:kern w:val="0"/>
          <w:sz w:val="24"/>
          <w:szCs w:val="24"/>
          <w:lang w:val="en-US" w:eastAsia="zh-CN" w:bidi="ar"/>
        </w:rPr>
        <w:t>★（6）提供本项目范围内视频监控、数据传输产生的网络费用，要求能够在管理中查看现场监测站房视频监控。同时投标人须</w:t>
      </w:r>
      <w:r>
        <w:rPr>
          <w:rFonts w:hint="eastAsia" w:ascii="宋体" w:hAnsi="宋体" w:cs="宋体"/>
          <w:color w:val="000000"/>
          <w:kern w:val="0"/>
          <w:sz w:val="24"/>
          <w:szCs w:val="24"/>
          <w:lang w:val="en-US" w:eastAsia="zh-CN" w:bidi="ar"/>
        </w:rPr>
        <w:t>为</w:t>
      </w:r>
      <w:r>
        <w:rPr>
          <w:rFonts w:hint="eastAsia" w:ascii="宋体" w:hAnsi="宋体" w:eastAsia="宋体" w:cs="宋体"/>
          <w:color w:val="000000"/>
          <w:kern w:val="0"/>
          <w:sz w:val="24"/>
          <w:szCs w:val="24"/>
          <w:lang w:val="en-US" w:eastAsia="zh-CN" w:bidi="ar"/>
        </w:rPr>
        <w:t>本项目</w:t>
      </w:r>
      <w:r>
        <w:rPr>
          <w:rFonts w:hint="eastAsia" w:ascii="宋体" w:hAnsi="宋体" w:cs="宋体"/>
          <w:color w:val="000000"/>
          <w:kern w:val="0"/>
          <w:sz w:val="24"/>
          <w:szCs w:val="24"/>
          <w:lang w:val="en-US" w:eastAsia="zh-CN" w:bidi="ar"/>
        </w:rPr>
        <w:t>提供</w:t>
      </w:r>
      <w:r>
        <w:rPr>
          <w:rFonts w:hint="eastAsia" w:ascii="宋体" w:hAnsi="宋体" w:eastAsia="宋体" w:cs="宋体"/>
          <w:color w:val="000000"/>
          <w:kern w:val="0"/>
          <w:sz w:val="24"/>
          <w:szCs w:val="24"/>
          <w:lang w:val="en-US" w:eastAsia="zh-CN" w:bidi="ar"/>
        </w:rPr>
        <w:t>云服务器（云服务器最低配置为 2 台 8 核心 CPU、16GB内存、300GB 硬盘、20Mbps 带宽）及短信报警费用（预计每个月 3000条）。</w:t>
      </w:r>
      <w:r>
        <w:rPr>
          <w:rFonts w:hint="eastAsia" w:ascii="宋体" w:hAnsi="宋体" w:cs="宋体"/>
          <w:color w:val="000000"/>
          <w:kern w:val="0"/>
          <w:sz w:val="24"/>
          <w:szCs w:val="24"/>
          <w:lang w:val="en-US" w:eastAsia="zh-CN" w:bidi="ar"/>
        </w:rPr>
        <w:t>项目报价应涵盖上述内容，投标人须自行考虑该项成本。</w:t>
      </w:r>
    </w:p>
    <w:p w14:paraId="57989D73">
      <w:pPr>
        <w:pStyle w:val="19"/>
        <w:ind w:firstLine="480" w:firstLineChars="200"/>
        <w:rPr>
          <w:rFonts w:hint="default"/>
          <w:b/>
          <w:bCs/>
          <w:lang w:val="en-US" w:eastAsia="zh-CN"/>
        </w:rPr>
      </w:pPr>
      <w:r>
        <w:rPr>
          <w:rFonts w:hint="eastAsia" w:ascii="宋体" w:hAnsi="宋体" w:eastAsia="宋体" w:cs="宋体"/>
          <w:color w:val="000000"/>
          <w:kern w:val="0"/>
          <w:sz w:val="24"/>
          <w:szCs w:val="24"/>
          <w:highlight w:val="yellow"/>
          <w:lang w:val="en-US" w:eastAsia="zh-CN" w:bidi="ar"/>
        </w:rPr>
        <w:t>★</w:t>
      </w:r>
      <w:r>
        <w:rPr>
          <w:rFonts w:hint="eastAsia" w:ascii="宋体" w:hAnsi="宋体" w:eastAsia="宋体" w:cs="宋体"/>
          <w:b/>
          <w:bCs/>
          <w:color w:val="000000"/>
          <w:kern w:val="0"/>
          <w:sz w:val="24"/>
          <w:szCs w:val="24"/>
          <w:highlight w:val="yellow"/>
          <w:lang w:val="en-US" w:eastAsia="zh-CN" w:bidi="ar"/>
        </w:rPr>
        <w:t>为实质性响应条款，投标单位需作出正面、完整的响应，否则投标无效</w:t>
      </w:r>
      <w:r>
        <w:rPr>
          <w:rFonts w:hint="eastAsia" w:ascii="宋体" w:hAnsi="宋体" w:eastAsia="宋体" w:cs="宋体"/>
          <w:b/>
          <w:bCs/>
          <w:color w:val="000000"/>
          <w:kern w:val="0"/>
          <w:sz w:val="24"/>
          <w:szCs w:val="24"/>
          <w:highlight w:val="none"/>
          <w:lang w:val="en-US" w:eastAsia="zh-CN" w:bidi="ar"/>
        </w:rPr>
        <w:t>。</w:t>
      </w:r>
    </w:p>
    <w:p w14:paraId="20CF36CC">
      <w:pPr>
        <w:spacing w:line="360" w:lineRule="auto"/>
        <w:jc w:val="both"/>
        <w:rPr>
          <w:rFonts w:hint="eastAsia" w:ascii="宋体" w:hAnsi="宋体" w:eastAsia="宋体" w:cs="宋体"/>
          <w:b/>
          <w:bCs w:val="0"/>
          <w:color w:val="auto"/>
          <w:sz w:val="32"/>
          <w:szCs w:val="32"/>
          <w:highlight w:val="none"/>
          <w:lang w:val="en-US" w:eastAsia="zh-CN"/>
        </w:rPr>
      </w:pPr>
    </w:p>
    <w:p w14:paraId="2369ECB3">
      <w:pPr>
        <w:pStyle w:val="4"/>
        <w:rPr>
          <w:rFonts w:hint="eastAsia" w:ascii="宋体" w:hAnsi="宋体" w:eastAsia="宋体" w:cs="宋体"/>
          <w:b/>
          <w:bCs w:val="0"/>
          <w:color w:val="auto"/>
          <w:sz w:val="32"/>
          <w:szCs w:val="32"/>
          <w:highlight w:val="none"/>
          <w:lang w:val="en-US" w:eastAsia="zh-CN"/>
        </w:rPr>
      </w:pPr>
    </w:p>
    <w:p w14:paraId="79FCB0DB">
      <w:pPr>
        <w:rPr>
          <w:rFonts w:hint="eastAsia" w:ascii="宋体" w:hAnsi="宋体" w:eastAsia="宋体" w:cs="宋体"/>
          <w:b/>
          <w:bCs w:val="0"/>
          <w:color w:val="auto"/>
          <w:sz w:val="32"/>
          <w:szCs w:val="32"/>
          <w:highlight w:val="none"/>
          <w:lang w:val="en-US" w:eastAsia="zh-CN"/>
        </w:rPr>
      </w:pPr>
    </w:p>
    <w:p w14:paraId="274B060B">
      <w:pPr>
        <w:pStyle w:val="4"/>
        <w:rPr>
          <w:rFonts w:hint="eastAsia" w:ascii="宋体" w:hAnsi="宋体" w:eastAsia="宋体" w:cs="宋体"/>
          <w:b/>
          <w:bCs w:val="0"/>
          <w:color w:val="auto"/>
          <w:sz w:val="32"/>
          <w:szCs w:val="32"/>
          <w:highlight w:val="none"/>
          <w:lang w:val="en-US" w:eastAsia="zh-CN"/>
        </w:rPr>
      </w:pPr>
    </w:p>
    <w:p w14:paraId="10930125">
      <w:pPr>
        <w:rPr>
          <w:rFonts w:hint="eastAsia" w:ascii="宋体" w:hAnsi="宋体" w:eastAsia="宋体" w:cs="宋体"/>
          <w:b/>
          <w:bCs w:val="0"/>
          <w:color w:val="auto"/>
          <w:sz w:val="32"/>
          <w:szCs w:val="32"/>
          <w:highlight w:val="none"/>
          <w:lang w:val="en-US" w:eastAsia="zh-CN"/>
        </w:rPr>
      </w:pPr>
    </w:p>
    <w:p w14:paraId="425B08CE">
      <w:pPr>
        <w:pStyle w:val="4"/>
        <w:rPr>
          <w:rFonts w:hint="eastAsia" w:ascii="宋体" w:hAnsi="宋体" w:eastAsia="宋体" w:cs="宋体"/>
          <w:b/>
          <w:bCs w:val="0"/>
          <w:color w:val="auto"/>
          <w:sz w:val="32"/>
          <w:szCs w:val="32"/>
          <w:highlight w:val="none"/>
          <w:lang w:val="en-US" w:eastAsia="zh-CN"/>
        </w:rPr>
      </w:pPr>
    </w:p>
    <w:p w14:paraId="75A9E5DD">
      <w:pPr>
        <w:rPr>
          <w:rFonts w:hint="eastAsia" w:ascii="宋体" w:hAnsi="宋体" w:eastAsia="宋体" w:cs="宋体"/>
          <w:b/>
          <w:bCs w:val="0"/>
          <w:color w:val="auto"/>
          <w:sz w:val="32"/>
          <w:szCs w:val="32"/>
          <w:highlight w:val="none"/>
          <w:lang w:val="en-US" w:eastAsia="zh-CN"/>
        </w:rPr>
      </w:pPr>
    </w:p>
    <w:p w14:paraId="70C532E2">
      <w:pPr>
        <w:pStyle w:val="4"/>
        <w:rPr>
          <w:rFonts w:hint="eastAsia" w:ascii="宋体" w:hAnsi="宋体" w:eastAsia="宋体" w:cs="宋体"/>
          <w:b/>
          <w:bCs w:val="0"/>
          <w:color w:val="auto"/>
          <w:sz w:val="32"/>
          <w:szCs w:val="32"/>
          <w:highlight w:val="none"/>
          <w:lang w:val="en-US" w:eastAsia="zh-CN"/>
        </w:rPr>
      </w:pPr>
    </w:p>
    <w:p w14:paraId="1D422A44">
      <w:pPr>
        <w:rPr>
          <w:rFonts w:hint="eastAsia" w:ascii="宋体" w:hAnsi="宋体" w:eastAsia="宋体" w:cs="宋体"/>
          <w:b/>
          <w:bCs w:val="0"/>
          <w:color w:val="auto"/>
          <w:sz w:val="32"/>
          <w:szCs w:val="32"/>
          <w:highlight w:val="none"/>
          <w:lang w:val="en-US" w:eastAsia="zh-CN"/>
        </w:rPr>
      </w:pPr>
    </w:p>
    <w:p w14:paraId="0C52F30F">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33797427">
      <w:pPr>
        <w:pStyle w:val="15"/>
        <w:rPr>
          <w:rFonts w:hint="eastAsia" w:ascii="宋体" w:hAnsi="宋体" w:eastAsia="宋体" w:cs="宋体"/>
          <w:b/>
          <w:bCs w:val="0"/>
          <w:color w:val="auto"/>
          <w:sz w:val="30"/>
          <w:szCs w:val="30"/>
          <w:highlight w:val="none"/>
          <w:lang w:val="en-US" w:eastAsia="zh-CN"/>
        </w:rPr>
      </w:pPr>
    </w:p>
    <w:p w14:paraId="42C0E927">
      <w:pPr>
        <w:pStyle w:val="8"/>
        <w:rPr>
          <w:rFonts w:hint="eastAsia" w:ascii="宋体" w:hAnsi="宋体" w:eastAsia="宋体" w:cs="宋体"/>
          <w:b/>
          <w:bCs w:val="0"/>
          <w:color w:val="auto"/>
          <w:sz w:val="30"/>
          <w:szCs w:val="30"/>
          <w:highlight w:val="none"/>
          <w:lang w:val="en-US" w:eastAsia="zh-CN"/>
        </w:rPr>
      </w:pPr>
    </w:p>
    <w:p w14:paraId="6C9940C5">
      <w:pPr>
        <w:rPr>
          <w:rFonts w:hint="eastAsia" w:ascii="宋体" w:hAnsi="宋体" w:eastAsia="宋体" w:cs="宋体"/>
          <w:b/>
          <w:bCs w:val="0"/>
          <w:color w:val="auto"/>
          <w:sz w:val="30"/>
          <w:szCs w:val="30"/>
          <w:highlight w:val="none"/>
          <w:lang w:val="en-US" w:eastAsia="zh-CN"/>
        </w:rPr>
      </w:pPr>
    </w:p>
    <w:p w14:paraId="79833DAB">
      <w:pPr>
        <w:pStyle w:val="15"/>
        <w:rPr>
          <w:rFonts w:hint="eastAsia" w:ascii="宋体" w:hAnsi="宋体" w:eastAsia="宋体" w:cs="宋体"/>
          <w:b/>
          <w:bCs w:val="0"/>
          <w:color w:val="auto"/>
          <w:sz w:val="30"/>
          <w:szCs w:val="30"/>
          <w:highlight w:val="none"/>
          <w:lang w:val="en-US" w:eastAsia="zh-CN"/>
        </w:rPr>
      </w:pPr>
    </w:p>
    <w:p w14:paraId="43AB81FD">
      <w:pPr>
        <w:pStyle w:val="8"/>
        <w:rPr>
          <w:rFonts w:hint="eastAsia"/>
          <w:lang w:val="en-US" w:eastAsia="zh-CN"/>
        </w:rPr>
      </w:pPr>
    </w:p>
    <w:p w14:paraId="40A3D036">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17E8284D">
      <w:pPr>
        <w:pageBreakBefore w:val="0"/>
        <w:spacing w:line="380" w:lineRule="exact"/>
        <w:jc w:val="both"/>
        <w:rPr>
          <w:rFonts w:hint="eastAsia" w:ascii="宋体" w:hAnsi="宋体" w:eastAsia="宋体" w:cs="宋体"/>
          <w:b/>
          <w:bCs w:val="0"/>
          <w:color w:val="auto"/>
          <w:sz w:val="30"/>
          <w:szCs w:val="30"/>
          <w:highlight w:val="none"/>
          <w:lang w:val="en-US" w:eastAsia="zh-CN"/>
        </w:rPr>
      </w:pPr>
    </w:p>
    <w:p w14:paraId="060AE2AE">
      <w:pPr>
        <w:pStyle w:val="34"/>
        <w:numPr>
          <w:ilvl w:val="0"/>
          <w:numId w:val="5"/>
        </w:numPr>
        <w:ind w:left="0" w:leftChars="0" w:firstLine="0" w:firstLineChars="0"/>
        <w:jc w:val="center"/>
        <w:rPr>
          <w:rFonts w:hint="eastAsia" w:ascii="仿宋" w:hAnsi="仿宋" w:eastAsia="仿宋" w:cs="仿宋"/>
          <w:b/>
          <w:color w:val="000000"/>
          <w:sz w:val="36"/>
          <w:u w:val="none"/>
          <w:lang w:val="en-US" w:eastAsia="zh-CN"/>
        </w:rPr>
      </w:pPr>
    </w:p>
    <w:p w14:paraId="33478492">
      <w:pPr>
        <w:spacing w:line="256" w:lineRule="auto"/>
        <w:rPr>
          <w:rFonts w:ascii="Arial"/>
          <w:sz w:val="21"/>
        </w:rPr>
      </w:pPr>
    </w:p>
    <w:p w14:paraId="35C59964">
      <w:pPr>
        <w:spacing w:line="256" w:lineRule="auto"/>
        <w:rPr>
          <w:rFonts w:ascii="Arial"/>
          <w:sz w:val="21"/>
        </w:rPr>
      </w:pPr>
    </w:p>
    <w:p w14:paraId="2F4FCD09">
      <w:pPr>
        <w:spacing w:line="256" w:lineRule="auto"/>
        <w:rPr>
          <w:rFonts w:ascii="Arial"/>
          <w:sz w:val="21"/>
        </w:rPr>
      </w:pPr>
    </w:p>
    <w:p w14:paraId="5D445150">
      <w:pPr>
        <w:spacing w:line="256" w:lineRule="auto"/>
        <w:rPr>
          <w:rFonts w:ascii="Arial"/>
          <w:sz w:val="21"/>
        </w:rPr>
      </w:pPr>
    </w:p>
    <w:p w14:paraId="24A54DF6">
      <w:pPr>
        <w:spacing w:line="256" w:lineRule="auto"/>
        <w:rPr>
          <w:rFonts w:ascii="Arial"/>
          <w:sz w:val="21"/>
        </w:rPr>
      </w:pPr>
    </w:p>
    <w:p w14:paraId="3CC2D1A5">
      <w:pPr>
        <w:spacing w:line="257" w:lineRule="auto"/>
        <w:rPr>
          <w:rFonts w:ascii="Arial"/>
          <w:sz w:val="21"/>
        </w:rPr>
      </w:pPr>
    </w:p>
    <w:p w14:paraId="1C5AADE2">
      <w:pPr>
        <w:spacing w:line="257" w:lineRule="auto"/>
        <w:rPr>
          <w:rFonts w:ascii="Arial"/>
          <w:sz w:val="21"/>
        </w:rPr>
      </w:pPr>
    </w:p>
    <w:p w14:paraId="54444C72">
      <w:pPr>
        <w:pStyle w:val="10"/>
        <w:spacing w:before="152" w:line="219" w:lineRule="auto"/>
        <w:ind w:left="2291"/>
        <w:jc w:val="both"/>
        <w:outlineLvl w:val="0"/>
        <w:rPr>
          <w:sz w:val="47"/>
          <w:szCs w:val="47"/>
        </w:rPr>
      </w:pPr>
      <w:r>
        <w:rPr>
          <w:b/>
          <w:bCs/>
          <w:spacing w:val="-23"/>
          <w:sz w:val="47"/>
          <w:szCs w:val="47"/>
        </w:rPr>
        <w:t>技</w:t>
      </w:r>
      <w:r>
        <w:rPr>
          <w:spacing w:val="71"/>
          <w:sz w:val="47"/>
          <w:szCs w:val="47"/>
        </w:rPr>
        <w:t xml:space="preserve"> </w:t>
      </w:r>
      <w:r>
        <w:rPr>
          <w:b/>
          <w:bCs/>
          <w:spacing w:val="-23"/>
          <w:sz w:val="47"/>
          <w:szCs w:val="47"/>
        </w:rPr>
        <w:t>术</w:t>
      </w:r>
      <w:r>
        <w:rPr>
          <w:spacing w:val="63"/>
          <w:sz w:val="47"/>
          <w:szCs w:val="47"/>
        </w:rPr>
        <w:t xml:space="preserve"> </w:t>
      </w:r>
      <w:r>
        <w:rPr>
          <w:b/>
          <w:bCs/>
          <w:spacing w:val="-23"/>
          <w:sz w:val="47"/>
          <w:szCs w:val="47"/>
        </w:rPr>
        <w:t>服</w:t>
      </w:r>
      <w:r>
        <w:rPr>
          <w:spacing w:val="67"/>
          <w:sz w:val="47"/>
          <w:szCs w:val="47"/>
        </w:rPr>
        <w:t xml:space="preserve"> </w:t>
      </w:r>
      <w:r>
        <w:rPr>
          <w:b/>
          <w:bCs/>
          <w:spacing w:val="-23"/>
          <w:sz w:val="47"/>
          <w:szCs w:val="47"/>
        </w:rPr>
        <w:t>务</w:t>
      </w:r>
      <w:r>
        <w:rPr>
          <w:spacing w:val="65"/>
          <w:sz w:val="47"/>
          <w:szCs w:val="47"/>
        </w:rPr>
        <w:t xml:space="preserve"> </w:t>
      </w:r>
      <w:r>
        <w:rPr>
          <w:b/>
          <w:bCs/>
          <w:spacing w:val="-23"/>
          <w:sz w:val="47"/>
          <w:szCs w:val="47"/>
        </w:rPr>
        <w:t>合</w:t>
      </w:r>
      <w:r>
        <w:rPr>
          <w:spacing w:val="109"/>
          <w:sz w:val="47"/>
          <w:szCs w:val="47"/>
        </w:rPr>
        <w:t xml:space="preserve"> </w:t>
      </w:r>
      <w:r>
        <w:rPr>
          <w:b/>
          <w:bCs/>
          <w:spacing w:val="-23"/>
          <w:sz w:val="47"/>
          <w:szCs w:val="47"/>
        </w:rPr>
        <w:t>同</w:t>
      </w:r>
    </w:p>
    <w:p w14:paraId="5E8D93F9">
      <w:pPr>
        <w:spacing w:line="276" w:lineRule="auto"/>
        <w:rPr>
          <w:rFonts w:ascii="Arial"/>
          <w:sz w:val="21"/>
        </w:rPr>
      </w:pPr>
    </w:p>
    <w:p w14:paraId="12A4A839">
      <w:pPr>
        <w:spacing w:line="276" w:lineRule="auto"/>
        <w:rPr>
          <w:rFonts w:ascii="Arial"/>
          <w:sz w:val="21"/>
        </w:rPr>
      </w:pPr>
    </w:p>
    <w:p w14:paraId="40024E28">
      <w:pPr>
        <w:spacing w:line="277" w:lineRule="auto"/>
        <w:rPr>
          <w:rFonts w:ascii="Arial"/>
          <w:sz w:val="21"/>
        </w:rPr>
      </w:pPr>
    </w:p>
    <w:p w14:paraId="0F0FA222">
      <w:pPr>
        <w:spacing w:line="277" w:lineRule="auto"/>
        <w:rPr>
          <w:rFonts w:ascii="Arial"/>
          <w:sz w:val="21"/>
        </w:rPr>
      </w:pPr>
    </w:p>
    <w:p w14:paraId="706FD0DE">
      <w:pPr>
        <w:spacing w:line="277" w:lineRule="auto"/>
        <w:rPr>
          <w:rFonts w:ascii="Arial"/>
          <w:sz w:val="21"/>
        </w:rPr>
      </w:pPr>
    </w:p>
    <w:p w14:paraId="32830AA0">
      <w:pPr>
        <w:spacing w:line="277" w:lineRule="auto"/>
        <w:rPr>
          <w:rFonts w:ascii="Arial"/>
          <w:sz w:val="21"/>
        </w:rPr>
      </w:pPr>
    </w:p>
    <w:p w14:paraId="33D7F37C">
      <w:pPr>
        <w:spacing w:line="295" w:lineRule="auto"/>
        <w:ind w:firstLine="242" w:firstLineChars="100"/>
        <w:rPr>
          <w:rFonts w:hint="eastAsia"/>
          <w:u w:val="single"/>
          <w:lang w:val="en-US" w:eastAsia="zh-CN"/>
        </w:rPr>
      </w:pPr>
      <w:r>
        <w:rPr>
          <w:spacing w:val="6"/>
          <w:position w:val="1"/>
          <w:sz w:val="23"/>
          <w:szCs w:val="23"/>
        </w:rPr>
        <w:t>项 目</w:t>
      </w:r>
      <w:r>
        <w:rPr>
          <w:spacing w:val="-40"/>
          <w:position w:val="1"/>
          <w:sz w:val="23"/>
          <w:szCs w:val="23"/>
        </w:rPr>
        <w:t xml:space="preserve"> </w:t>
      </w:r>
      <w:r>
        <w:rPr>
          <w:spacing w:val="6"/>
          <w:position w:val="1"/>
          <w:sz w:val="23"/>
          <w:szCs w:val="23"/>
        </w:rPr>
        <w:t>名</w:t>
      </w:r>
      <w:r>
        <w:rPr>
          <w:spacing w:val="-52"/>
          <w:position w:val="1"/>
          <w:sz w:val="23"/>
          <w:szCs w:val="23"/>
        </w:rPr>
        <w:t xml:space="preserve"> </w:t>
      </w:r>
      <w:r>
        <w:rPr>
          <w:spacing w:val="6"/>
          <w:position w:val="1"/>
          <w:sz w:val="23"/>
          <w:szCs w:val="23"/>
        </w:rPr>
        <w:t>称</w:t>
      </w:r>
      <w:r>
        <w:rPr>
          <w:spacing w:val="-31"/>
          <w:position w:val="1"/>
          <w:sz w:val="23"/>
          <w:szCs w:val="23"/>
        </w:rPr>
        <w:t xml:space="preserve"> </w:t>
      </w:r>
      <w:r>
        <w:rPr>
          <w:spacing w:val="6"/>
          <w:position w:val="1"/>
          <w:sz w:val="23"/>
          <w:szCs w:val="23"/>
        </w:rPr>
        <w:t>：</w:t>
      </w:r>
      <w:r>
        <w:rPr>
          <w:spacing w:val="-74"/>
          <w:position w:val="1"/>
          <w:sz w:val="23"/>
          <w:szCs w:val="23"/>
        </w:rPr>
        <w:t xml:space="preserve"> </w:t>
      </w:r>
      <w:r>
        <w:rPr>
          <w:spacing w:val="-129"/>
          <w:u w:val="single" w:color="auto"/>
        </w:rPr>
        <w:t xml:space="preserve"> </w:t>
      </w:r>
      <w:r>
        <w:rPr>
          <w:rFonts w:hint="eastAsia"/>
          <w:lang w:val="en-US" w:eastAsia="zh-CN"/>
        </w:rPr>
        <w:t xml:space="preserve">  </w:t>
      </w:r>
      <w:r>
        <w:rPr>
          <w:rFonts w:hint="eastAsia"/>
          <w:u w:val="single"/>
          <w:lang w:val="en-US" w:eastAsia="zh-CN"/>
        </w:rPr>
        <w:t xml:space="preserve"> 盱眙经济开发区地表水站和污水管网站运维服务项目</w:t>
      </w:r>
    </w:p>
    <w:p w14:paraId="5EF4B77A">
      <w:pPr>
        <w:spacing w:line="295" w:lineRule="auto"/>
        <w:rPr>
          <w:rFonts w:ascii="Arial"/>
          <w:sz w:val="21"/>
        </w:rPr>
      </w:pPr>
    </w:p>
    <w:p w14:paraId="3C14CB6E">
      <w:pPr>
        <w:spacing w:line="295" w:lineRule="auto"/>
        <w:rPr>
          <w:rFonts w:ascii="Arial"/>
          <w:sz w:val="21"/>
        </w:rPr>
      </w:pPr>
    </w:p>
    <w:p w14:paraId="2B1D5260">
      <w:pPr>
        <w:spacing w:line="295" w:lineRule="auto"/>
        <w:rPr>
          <w:rFonts w:ascii="Arial"/>
          <w:sz w:val="21"/>
        </w:rPr>
      </w:pPr>
    </w:p>
    <w:p w14:paraId="1CCE2E8E">
      <w:pPr>
        <w:pStyle w:val="10"/>
        <w:spacing w:before="91" w:line="367" w:lineRule="auto"/>
        <w:ind w:left="554" w:right="1960" w:hanging="199"/>
        <w:jc w:val="both"/>
        <w:rPr>
          <w:rFonts w:hint="default"/>
          <w:spacing w:val="0"/>
          <w:sz w:val="28"/>
          <w:u w:val="single" w:color="auto"/>
          <w:lang w:val="en-US" w:eastAsia="zh-CN"/>
        </w:rPr>
      </w:pPr>
      <w:r>
        <w:rPr>
          <w:spacing w:val="22"/>
        </w:rPr>
        <w:t>委</w:t>
      </w:r>
      <w:r>
        <w:rPr>
          <w:spacing w:val="-19"/>
        </w:rPr>
        <w:t xml:space="preserve"> </w:t>
      </w:r>
      <w:r>
        <w:rPr>
          <w:spacing w:val="22"/>
        </w:rPr>
        <w:t>托</w:t>
      </w:r>
      <w:r>
        <w:rPr>
          <w:spacing w:val="-20"/>
        </w:rPr>
        <w:t xml:space="preserve"> </w:t>
      </w:r>
      <w:r>
        <w:rPr>
          <w:spacing w:val="22"/>
        </w:rPr>
        <w:t>方</w:t>
      </w:r>
      <w:r>
        <w:rPr>
          <w:spacing w:val="-32"/>
        </w:rPr>
        <w:t xml:space="preserve"> </w:t>
      </w:r>
      <w:r>
        <w:rPr>
          <w:spacing w:val="22"/>
        </w:rPr>
        <w:t>：</w:t>
      </w:r>
      <w:r>
        <w:rPr>
          <w:rFonts w:hint="eastAsia"/>
          <w:spacing w:val="107"/>
          <w:u w:val="single" w:color="auto"/>
          <w:lang w:val="en-US" w:eastAsia="zh-CN"/>
        </w:rPr>
        <w:t xml:space="preserve"> </w:t>
      </w:r>
      <w:r>
        <w:rPr>
          <w:rFonts w:hint="eastAsia"/>
          <w:spacing w:val="0"/>
          <w:sz w:val="28"/>
          <w:u w:val="single" w:color="auto"/>
          <w:lang w:val="en-US" w:eastAsia="zh-CN"/>
        </w:rPr>
        <w:t xml:space="preserve">江苏江苏盱眙经济开发区管理委员会   </w:t>
      </w:r>
    </w:p>
    <w:p w14:paraId="5DEB9E07">
      <w:pPr>
        <w:pStyle w:val="10"/>
        <w:spacing w:before="91" w:line="367" w:lineRule="auto"/>
        <w:ind w:left="496" w:leftChars="236" w:right="1960" w:firstLine="237" w:firstLineChars="104"/>
        <w:rPr>
          <w:spacing w:val="-26"/>
        </w:rPr>
      </w:pPr>
      <w:r>
        <w:rPr>
          <w:rFonts w:hint="eastAsia"/>
          <w:spacing w:val="-26"/>
          <w:lang w:val="en-US" w:eastAsia="zh-CN"/>
        </w:rPr>
        <w:t>（</w:t>
      </w:r>
      <w:r>
        <w:rPr>
          <w:spacing w:val="-26"/>
        </w:rPr>
        <w:t>甲 方 )</w:t>
      </w:r>
    </w:p>
    <w:p w14:paraId="3AF7D56D">
      <w:pPr>
        <w:spacing w:line="443" w:lineRule="auto"/>
        <w:rPr>
          <w:rFonts w:ascii="Arial"/>
          <w:sz w:val="21"/>
        </w:rPr>
      </w:pPr>
    </w:p>
    <w:p w14:paraId="48658DFE">
      <w:pPr>
        <w:pStyle w:val="10"/>
        <w:spacing w:before="91" w:line="367" w:lineRule="auto"/>
        <w:ind w:left="554" w:right="1960" w:hanging="199"/>
        <w:jc w:val="both"/>
      </w:pPr>
      <w:r>
        <w:rPr>
          <w:spacing w:val="-13"/>
        </w:rPr>
        <w:t>受 托 方</w:t>
      </w:r>
      <w:r>
        <w:rPr>
          <w:spacing w:val="-30"/>
        </w:rPr>
        <w:t xml:space="preserve"> </w:t>
      </w:r>
      <w:r>
        <w:rPr>
          <w:spacing w:val="-13"/>
        </w:rPr>
        <w:t>：</w:t>
      </w:r>
      <w:r>
        <w:rPr>
          <w:spacing w:val="107"/>
          <w:u w:val="single" w:color="auto"/>
        </w:rPr>
        <w:t xml:space="preserve"> </w:t>
      </w:r>
      <w:r>
        <w:rPr>
          <w:rFonts w:hint="eastAsia"/>
          <w:spacing w:val="107"/>
          <w:u w:val="single" w:color="auto"/>
          <w:lang w:val="en-US" w:eastAsia="zh-CN"/>
        </w:rPr>
        <w:t xml:space="preserve">         </w:t>
      </w:r>
      <w:r>
        <w:rPr>
          <w:spacing w:val="-13"/>
          <w:u w:val="single" w:color="auto"/>
        </w:rPr>
        <w:t xml:space="preserve">  </w:t>
      </w:r>
      <w:r>
        <w:rPr>
          <w:spacing w:val="-14"/>
          <w:u w:val="single" w:color="auto"/>
        </w:rPr>
        <w:t xml:space="preserve">  </w:t>
      </w:r>
      <w:r>
        <w:rPr>
          <w:rFonts w:hint="eastAsia"/>
          <w:spacing w:val="-14"/>
          <w:u w:val="single" w:color="auto"/>
          <w:lang w:val="en-US" w:eastAsia="zh-CN"/>
        </w:rPr>
        <w:t xml:space="preserve">             </w:t>
      </w:r>
      <w:r>
        <w:rPr>
          <w:spacing w:val="-14"/>
          <w:u w:val="single" w:color="auto"/>
        </w:rPr>
        <w:t xml:space="preserve">          </w:t>
      </w:r>
      <w:r>
        <w:t xml:space="preserve"> </w:t>
      </w:r>
    </w:p>
    <w:p w14:paraId="1A7BB6C7">
      <w:pPr>
        <w:pStyle w:val="10"/>
        <w:spacing w:before="91" w:line="367" w:lineRule="auto"/>
        <w:ind w:left="496" w:leftChars="236" w:right="1960" w:firstLine="237" w:firstLineChars="104"/>
      </w:pPr>
      <w:r>
        <w:rPr>
          <w:spacing w:val="-26"/>
        </w:rPr>
        <w:t>( 乙</w:t>
      </w:r>
      <w:r>
        <w:rPr>
          <w:spacing w:val="-44"/>
        </w:rPr>
        <w:t xml:space="preserve"> </w:t>
      </w:r>
      <w:r>
        <w:rPr>
          <w:spacing w:val="-26"/>
        </w:rPr>
        <w:t>方</w:t>
      </w:r>
      <w:r>
        <w:rPr>
          <w:spacing w:val="-44"/>
        </w:rPr>
        <w:t xml:space="preserve"> </w:t>
      </w:r>
      <w:r>
        <w:rPr>
          <w:spacing w:val="-26"/>
        </w:rPr>
        <w:t>)</w:t>
      </w:r>
    </w:p>
    <w:p w14:paraId="424756E0">
      <w:pPr>
        <w:spacing w:line="423" w:lineRule="auto"/>
        <w:rPr>
          <w:rFonts w:ascii="Arial"/>
          <w:sz w:val="21"/>
        </w:rPr>
      </w:pPr>
    </w:p>
    <w:p w14:paraId="2FFF4960">
      <w:pPr>
        <w:pStyle w:val="10"/>
        <w:spacing w:before="92" w:line="219" w:lineRule="auto"/>
        <w:ind w:left="435"/>
        <w:rPr>
          <w:spacing w:val="7"/>
        </w:rPr>
      </w:pPr>
    </w:p>
    <w:p w14:paraId="1886A6C9">
      <w:pPr>
        <w:pStyle w:val="10"/>
        <w:spacing w:before="92" w:line="219" w:lineRule="auto"/>
        <w:ind w:left="435"/>
        <w:rPr>
          <w:rFonts w:hint="eastAsia" w:eastAsia="宋体"/>
          <w:lang w:eastAsia="zh-CN"/>
        </w:rPr>
      </w:pPr>
      <w:r>
        <w:rPr>
          <w:spacing w:val="7"/>
        </w:rPr>
        <w:t>签订地点：</w:t>
      </w:r>
      <w:r>
        <w:rPr>
          <w:rFonts w:hint="eastAsia"/>
          <w:spacing w:val="64"/>
          <w:lang w:eastAsia="zh-CN"/>
        </w:rPr>
        <w:t>江苏省淮安市盱眙经济开发区</w:t>
      </w:r>
    </w:p>
    <w:p w14:paraId="21242A28">
      <w:pPr>
        <w:pStyle w:val="10"/>
        <w:spacing w:before="227" w:line="219" w:lineRule="auto"/>
        <w:ind w:left="355"/>
      </w:pPr>
      <w:r>
        <w:rPr>
          <w:spacing w:val="8"/>
        </w:rPr>
        <w:t>签订日期：</w:t>
      </w:r>
      <w:r>
        <w:rPr>
          <w:spacing w:val="139"/>
        </w:rPr>
        <w:t xml:space="preserve"> </w:t>
      </w:r>
      <w:r>
        <w:rPr>
          <w:spacing w:val="8"/>
        </w:rPr>
        <w:t>202</w:t>
      </w:r>
      <w:r>
        <w:rPr>
          <w:rFonts w:hint="eastAsia"/>
          <w:spacing w:val="8"/>
          <w:lang w:val="en-US" w:eastAsia="zh-CN"/>
        </w:rPr>
        <w:t>6</w:t>
      </w:r>
      <w:r>
        <w:rPr>
          <w:spacing w:val="8"/>
        </w:rPr>
        <w:t xml:space="preserve">年 </w:t>
      </w:r>
      <w:r>
        <w:rPr>
          <w:rFonts w:hint="eastAsia"/>
          <w:spacing w:val="8"/>
          <w:lang w:val="en-US" w:eastAsia="zh-CN"/>
        </w:rPr>
        <w:t xml:space="preserve"> </w:t>
      </w:r>
      <w:r>
        <w:rPr>
          <w:spacing w:val="24"/>
        </w:rPr>
        <w:t xml:space="preserve"> </w:t>
      </w:r>
      <w:r>
        <w:rPr>
          <w:spacing w:val="8"/>
        </w:rPr>
        <w:t xml:space="preserve">月  </w:t>
      </w:r>
      <w:r>
        <w:rPr>
          <w:rFonts w:hint="eastAsia"/>
          <w:spacing w:val="8"/>
          <w:lang w:val="en-US" w:eastAsia="zh-CN"/>
        </w:rPr>
        <w:t xml:space="preserve"> </w:t>
      </w:r>
      <w:r>
        <w:rPr>
          <w:spacing w:val="8"/>
        </w:rPr>
        <w:t>日</w:t>
      </w:r>
    </w:p>
    <w:p w14:paraId="6B763B92"/>
    <w:p w14:paraId="56AFC1EA"/>
    <w:p w14:paraId="4DAF37BE"/>
    <w:p w14:paraId="3F24D7F0"/>
    <w:p w14:paraId="0D5FE060"/>
    <w:p w14:paraId="49CDEF40"/>
    <w:p w14:paraId="30A6FE29"/>
    <w:p w14:paraId="05934DDC"/>
    <w:p w14:paraId="49E93FCD"/>
    <w:p w14:paraId="0771CF31"/>
    <w:p w14:paraId="08E4469F"/>
    <w:p w14:paraId="0861BCA7"/>
    <w:p w14:paraId="380B26DA"/>
    <w:p w14:paraId="6334F960">
      <w:pPr>
        <w:pStyle w:val="37"/>
        <w:spacing w:before="33" w:line="348" w:lineRule="auto"/>
        <w:ind w:left="114" w:right="228" w:firstLine="460"/>
        <w:rPr>
          <w:rFonts w:hint="eastAsia" w:ascii="宋体" w:hAnsi="宋体" w:eastAsia="宋体" w:cs="宋体"/>
          <w:sz w:val="24"/>
          <w:szCs w:val="24"/>
        </w:rPr>
      </w:pPr>
      <w:r>
        <w:rPr>
          <w:rFonts w:hint="eastAsia" w:ascii="宋体" w:hAnsi="宋体" w:eastAsia="宋体" w:cs="宋体"/>
          <w:sz w:val="24"/>
          <w:szCs w:val="24"/>
        </w:rPr>
        <w:t>依据《中华人民共和国民法典》的规定，合同双方就地表水、</w:t>
      </w:r>
      <w:r>
        <w:rPr>
          <w:rFonts w:hint="eastAsia" w:ascii="宋体" w:hAnsi="宋体" w:eastAsia="宋体" w:cs="宋体"/>
          <w:sz w:val="24"/>
          <w:szCs w:val="24"/>
          <w:lang w:eastAsia="zh-CN"/>
        </w:rPr>
        <w:t>污水管网</w:t>
      </w:r>
      <w:r>
        <w:rPr>
          <w:rFonts w:hint="eastAsia" w:ascii="宋体" w:hAnsi="宋体" w:eastAsia="宋体" w:cs="宋体"/>
          <w:sz w:val="24"/>
          <w:szCs w:val="24"/>
        </w:rPr>
        <w:t>水质自动监测系统运行维护的技术服务签订本合同。</w:t>
      </w:r>
    </w:p>
    <w:p w14:paraId="43D6B8CC">
      <w:pPr>
        <w:pStyle w:val="37"/>
        <w:spacing w:before="26" w:line="219" w:lineRule="auto"/>
        <w:ind w:left="565"/>
        <w:rPr>
          <w:rFonts w:hint="eastAsia" w:ascii="宋体" w:hAnsi="宋体" w:eastAsia="宋体" w:cs="宋体"/>
          <w:sz w:val="24"/>
          <w:szCs w:val="24"/>
        </w:rPr>
      </w:pPr>
      <w:r>
        <w:rPr>
          <w:rFonts w:hint="eastAsia" w:ascii="宋体" w:hAnsi="宋体" w:eastAsia="宋体" w:cs="宋体"/>
          <w:sz w:val="24"/>
          <w:szCs w:val="24"/>
        </w:rPr>
        <w:t>一、服务内容、方式和要求：</w:t>
      </w:r>
    </w:p>
    <w:p w14:paraId="748F598F">
      <w:pPr>
        <w:pStyle w:val="37"/>
        <w:spacing w:before="185" w:line="359" w:lineRule="auto"/>
        <w:ind w:left="114" w:firstLine="469"/>
        <w:rPr>
          <w:rFonts w:hint="eastAsia" w:ascii="宋体" w:hAnsi="宋体" w:eastAsia="宋体" w:cs="宋体"/>
          <w:sz w:val="24"/>
          <w:szCs w:val="24"/>
        </w:rPr>
      </w:pPr>
      <w:r>
        <w:rPr>
          <w:rFonts w:hint="eastAsia" w:ascii="宋体" w:hAnsi="宋体" w:eastAsia="宋体" w:cs="宋体"/>
          <w:sz w:val="24"/>
          <w:szCs w:val="24"/>
        </w:rPr>
        <w:t>乙方组织人员通过专业化操作、规范化管理，保证水质</w:t>
      </w:r>
      <w:r>
        <w:rPr>
          <w:rFonts w:hint="eastAsia" w:ascii="宋体" w:hAnsi="宋体" w:eastAsia="宋体" w:cs="宋体"/>
          <w:spacing w:val="-1"/>
          <w:sz w:val="24"/>
          <w:szCs w:val="24"/>
        </w:rPr>
        <w:t>自动监测站运行工况良好，</w:t>
      </w:r>
      <w:r>
        <w:rPr>
          <w:rFonts w:hint="eastAsia" w:ascii="宋体" w:hAnsi="宋体" w:eastAsia="宋体" w:cs="宋体"/>
          <w:sz w:val="24"/>
          <w:szCs w:val="24"/>
        </w:rPr>
        <w:t xml:space="preserve"> 数据传输稳定，监测成果可靠，系统正常运行率≥90%,异</w:t>
      </w:r>
      <w:r>
        <w:rPr>
          <w:rFonts w:hint="eastAsia" w:ascii="宋体" w:hAnsi="宋体" w:eastAsia="宋体" w:cs="宋体"/>
          <w:spacing w:val="-1"/>
          <w:sz w:val="24"/>
          <w:szCs w:val="24"/>
        </w:rPr>
        <w:t>常情况处理率100%。</w:t>
      </w:r>
    </w:p>
    <w:p w14:paraId="61F19966">
      <w:pPr>
        <w:pStyle w:val="37"/>
        <w:spacing w:before="46" w:line="220" w:lineRule="auto"/>
        <w:ind w:firstLine="484" w:firstLineChars="200"/>
        <w:rPr>
          <w:rFonts w:hint="eastAsia" w:ascii="宋体" w:hAnsi="宋体" w:eastAsia="宋体" w:cs="宋体"/>
          <w:sz w:val="24"/>
          <w:szCs w:val="24"/>
        </w:rPr>
      </w:pPr>
      <w:r>
        <w:rPr>
          <w:rFonts w:hint="eastAsia" w:ascii="宋体" w:hAnsi="宋体" w:eastAsia="宋体" w:cs="宋体"/>
          <w:spacing w:val="1"/>
          <w:sz w:val="24"/>
          <w:szCs w:val="24"/>
        </w:rPr>
        <w:t>(一)日运行监视</w:t>
      </w:r>
    </w:p>
    <w:p w14:paraId="11B2B7AC">
      <w:pPr>
        <w:pStyle w:val="37"/>
        <w:spacing w:before="141" w:line="370" w:lineRule="auto"/>
        <w:ind w:left="114" w:right="226" w:firstLine="460"/>
        <w:rPr>
          <w:rFonts w:hint="eastAsia" w:ascii="宋体" w:hAnsi="宋体" w:eastAsia="宋体" w:cs="宋体"/>
          <w:sz w:val="24"/>
          <w:szCs w:val="24"/>
        </w:rPr>
      </w:pPr>
      <w:r>
        <w:rPr>
          <w:rFonts w:hint="eastAsia" w:ascii="宋体" w:hAnsi="宋体" w:eastAsia="宋体" w:cs="宋体"/>
          <w:sz w:val="24"/>
          <w:szCs w:val="24"/>
        </w:rPr>
        <w:t>要求供应商安排专人实时远程查看水质监测站数据，对站点运行情况进行远程诊</w:t>
      </w:r>
      <w:r>
        <w:rPr>
          <w:rFonts w:hint="eastAsia" w:ascii="宋体" w:hAnsi="宋体" w:eastAsia="宋体" w:cs="宋体"/>
          <w:spacing w:val="11"/>
          <w:sz w:val="24"/>
          <w:szCs w:val="24"/>
        </w:rPr>
        <w:t xml:space="preserve"> </w:t>
      </w:r>
      <w:r>
        <w:rPr>
          <w:rFonts w:hint="eastAsia" w:ascii="宋体" w:hAnsi="宋体" w:eastAsia="宋体" w:cs="宋体"/>
          <w:sz w:val="24"/>
          <w:szCs w:val="24"/>
        </w:rPr>
        <w:t>断和运行管理，接到告警信息后及时上报，内容包括：</w:t>
      </w:r>
    </w:p>
    <w:p w14:paraId="7BF736CA">
      <w:pPr>
        <w:pStyle w:val="37"/>
        <w:spacing w:before="1" w:line="219" w:lineRule="auto"/>
        <w:ind w:left="585"/>
        <w:rPr>
          <w:rFonts w:hint="eastAsia" w:ascii="宋体" w:hAnsi="宋体" w:eastAsia="宋体" w:cs="宋体"/>
          <w:sz w:val="24"/>
          <w:szCs w:val="24"/>
        </w:rPr>
      </w:pPr>
      <w:r>
        <w:rPr>
          <w:rFonts w:hint="eastAsia" w:ascii="宋体" w:hAnsi="宋体" w:eastAsia="宋体" w:cs="宋体"/>
          <w:spacing w:val="5"/>
          <w:sz w:val="24"/>
          <w:szCs w:val="24"/>
        </w:rPr>
        <w:t>1.根据仪器数据判断水质情况和系统运行情况；</w:t>
      </w:r>
    </w:p>
    <w:p w14:paraId="02C2FB6A">
      <w:pPr>
        <w:pStyle w:val="37"/>
        <w:spacing w:before="205" w:line="219" w:lineRule="auto"/>
        <w:ind w:left="555"/>
        <w:rPr>
          <w:rFonts w:hint="eastAsia" w:ascii="宋体" w:hAnsi="宋体" w:eastAsia="宋体" w:cs="宋体"/>
          <w:sz w:val="24"/>
          <w:szCs w:val="24"/>
        </w:rPr>
      </w:pPr>
      <w:r>
        <w:rPr>
          <w:rFonts w:hint="eastAsia" w:ascii="宋体" w:hAnsi="宋体" w:eastAsia="宋体" w:cs="宋体"/>
          <w:spacing w:val="7"/>
          <w:sz w:val="24"/>
          <w:szCs w:val="24"/>
        </w:rPr>
        <w:t>2.根据故障报警信号判断现场状况；</w:t>
      </w:r>
    </w:p>
    <w:p w14:paraId="7A1E3A49">
      <w:pPr>
        <w:pStyle w:val="37"/>
        <w:spacing w:before="133" w:line="312" w:lineRule="auto"/>
        <w:ind w:left="94" w:right="206" w:firstLine="470"/>
        <w:rPr>
          <w:rFonts w:hint="eastAsia" w:ascii="宋体" w:hAnsi="宋体" w:eastAsia="宋体" w:cs="宋体"/>
          <w:sz w:val="24"/>
          <w:szCs w:val="24"/>
        </w:rPr>
      </w:pPr>
      <w:r>
        <w:rPr>
          <w:rFonts w:hint="eastAsia" w:ascii="宋体" w:hAnsi="宋体" w:eastAsia="宋体" w:cs="宋体"/>
          <w:sz w:val="24"/>
          <w:szCs w:val="24"/>
        </w:rPr>
        <w:t>3.发现数据有持续异常值出现时(超出警戒值、出现三组以上重复数据、数据突</w:t>
      </w:r>
      <w:r>
        <w:rPr>
          <w:rFonts w:hint="eastAsia" w:ascii="宋体" w:hAnsi="宋体" w:eastAsia="宋体" w:cs="宋体"/>
          <w:spacing w:val="7"/>
          <w:sz w:val="24"/>
          <w:szCs w:val="24"/>
        </w:rPr>
        <w:t xml:space="preserve">  </w:t>
      </w:r>
      <w:r>
        <w:rPr>
          <w:rFonts w:hint="eastAsia" w:ascii="宋体" w:hAnsi="宋体" w:eastAsia="宋体" w:cs="宋体"/>
          <w:sz w:val="24"/>
          <w:szCs w:val="24"/>
        </w:rPr>
        <w:t>变50%以上),应立即安排服务人员前往现场进行调查和处理，原则上于24小时内进行</w:t>
      </w:r>
      <w:r>
        <w:rPr>
          <w:rFonts w:hint="eastAsia" w:ascii="宋体" w:hAnsi="宋体" w:eastAsia="宋体" w:cs="宋体"/>
          <w:spacing w:val="5"/>
          <w:sz w:val="24"/>
          <w:szCs w:val="24"/>
        </w:rPr>
        <w:t xml:space="preserve">  </w:t>
      </w:r>
      <w:r>
        <w:rPr>
          <w:rFonts w:hint="eastAsia" w:ascii="宋体" w:hAnsi="宋体" w:eastAsia="宋体" w:cs="宋体"/>
          <w:spacing w:val="1"/>
          <w:sz w:val="24"/>
          <w:szCs w:val="24"/>
        </w:rPr>
        <w:t>解决使数据回归正常值，当无法自行解决，或确认水体出现水质问题时</w:t>
      </w:r>
      <w:r>
        <w:rPr>
          <w:rFonts w:hint="eastAsia" w:ascii="宋体" w:hAnsi="宋体" w:eastAsia="宋体" w:cs="宋体"/>
          <w:sz w:val="24"/>
          <w:szCs w:val="24"/>
        </w:rPr>
        <w:t>，须立即留样并通知甲方。</w:t>
      </w:r>
    </w:p>
    <w:p w14:paraId="500F6BD8">
      <w:pPr>
        <w:pStyle w:val="37"/>
        <w:spacing w:before="176" w:line="219" w:lineRule="auto"/>
        <w:ind w:firstLine="488" w:firstLineChars="200"/>
        <w:rPr>
          <w:rFonts w:hint="eastAsia" w:ascii="宋体" w:hAnsi="宋体" w:eastAsia="宋体" w:cs="宋体"/>
          <w:sz w:val="24"/>
          <w:szCs w:val="24"/>
        </w:rPr>
      </w:pPr>
      <w:r>
        <w:rPr>
          <w:rFonts w:hint="eastAsia" w:ascii="宋体" w:hAnsi="宋体" w:eastAsia="宋体" w:cs="宋体"/>
          <w:spacing w:val="2"/>
          <w:sz w:val="24"/>
          <w:szCs w:val="24"/>
        </w:rPr>
        <w:t>(二)周巡检维护</w:t>
      </w:r>
    </w:p>
    <w:p w14:paraId="6C26AEFC">
      <w:pPr>
        <w:pStyle w:val="37"/>
        <w:spacing w:before="135" w:line="369" w:lineRule="auto"/>
        <w:ind w:right="139" w:firstLine="492" w:firstLineChars="200"/>
        <w:rPr>
          <w:rFonts w:hint="eastAsia" w:ascii="宋体" w:hAnsi="宋体" w:eastAsia="宋体" w:cs="宋体"/>
          <w:sz w:val="24"/>
          <w:szCs w:val="24"/>
        </w:rPr>
      </w:pPr>
      <w:r>
        <w:rPr>
          <w:rFonts w:hint="eastAsia" w:ascii="宋体" w:hAnsi="宋体" w:eastAsia="宋体" w:cs="宋体"/>
          <w:spacing w:val="3"/>
          <w:sz w:val="24"/>
          <w:szCs w:val="24"/>
        </w:rPr>
        <w:t>运行维护人员应每周对监测站开展巡检及维护工作，对监测站设备、通信单元、</w:t>
      </w:r>
      <w:r>
        <w:rPr>
          <w:rFonts w:hint="eastAsia" w:ascii="宋体" w:hAnsi="宋体" w:eastAsia="宋体" w:cs="宋体"/>
          <w:sz w:val="24"/>
          <w:szCs w:val="24"/>
        </w:rPr>
        <w:t>采配水系统进行检查，结合实际使用情况对试剂耗材、备品备件进行更换。</w:t>
      </w:r>
    </w:p>
    <w:p w14:paraId="4D684CC2">
      <w:pPr>
        <w:pStyle w:val="37"/>
        <w:spacing w:before="1" w:line="219" w:lineRule="auto"/>
        <w:ind w:firstLine="476" w:firstLineChars="200"/>
        <w:rPr>
          <w:rFonts w:hint="eastAsia" w:ascii="宋体" w:hAnsi="宋体" w:eastAsia="宋体" w:cs="宋体"/>
          <w:sz w:val="24"/>
          <w:szCs w:val="24"/>
        </w:rPr>
      </w:pPr>
      <w:r>
        <w:rPr>
          <w:rFonts w:hint="eastAsia" w:ascii="宋体" w:hAnsi="宋体" w:eastAsia="宋体" w:cs="宋体"/>
          <w:spacing w:val="-1"/>
          <w:sz w:val="24"/>
          <w:szCs w:val="24"/>
        </w:rPr>
        <w:t>检查时需要完成的工作包括：</w:t>
      </w:r>
    </w:p>
    <w:p w14:paraId="146B23B4">
      <w:pPr>
        <w:pStyle w:val="37"/>
        <w:spacing w:before="164" w:line="358" w:lineRule="auto"/>
        <w:ind w:left="114" w:right="219" w:firstLine="470"/>
        <w:rPr>
          <w:rFonts w:hint="eastAsia" w:ascii="宋体" w:hAnsi="宋体" w:eastAsia="宋体" w:cs="宋体"/>
          <w:sz w:val="24"/>
          <w:szCs w:val="24"/>
        </w:rPr>
      </w:pPr>
      <w:r>
        <w:rPr>
          <w:rFonts w:hint="eastAsia" w:ascii="宋体" w:hAnsi="宋体" w:eastAsia="宋体" w:cs="宋体"/>
          <w:sz w:val="24"/>
          <w:szCs w:val="24"/>
        </w:rPr>
        <w:t>1.检查系统各单元的运行状况，保证系统运行顺畅，仪器能顺利完成整个测试过</w:t>
      </w:r>
      <w:r>
        <w:rPr>
          <w:rFonts w:hint="eastAsia" w:ascii="宋体" w:hAnsi="宋体" w:eastAsia="宋体" w:cs="宋体"/>
          <w:spacing w:val="8"/>
          <w:sz w:val="24"/>
          <w:szCs w:val="24"/>
        </w:rPr>
        <w:t xml:space="preserve"> </w:t>
      </w:r>
      <w:r>
        <w:rPr>
          <w:rFonts w:hint="eastAsia" w:ascii="宋体" w:hAnsi="宋体" w:eastAsia="宋体" w:cs="宋体"/>
          <w:spacing w:val="17"/>
          <w:sz w:val="24"/>
          <w:szCs w:val="24"/>
        </w:rPr>
        <w:t>程，无故障点；</w:t>
      </w:r>
    </w:p>
    <w:p w14:paraId="7D82B0B4">
      <w:pPr>
        <w:pStyle w:val="37"/>
        <w:spacing w:line="298" w:lineRule="auto"/>
        <w:ind w:left="114" w:right="237" w:firstLine="450"/>
        <w:rPr>
          <w:rFonts w:hint="eastAsia" w:ascii="宋体" w:hAnsi="宋体" w:eastAsia="宋体" w:cs="宋体"/>
          <w:spacing w:val="12"/>
          <w:sz w:val="24"/>
          <w:szCs w:val="24"/>
        </w:rPr>
      </w:pPr>
      <w:r>
        <w:rPr>
          <w:rFonts w:hint="eastAsia" w:ascii="宋体" w:hAnsi="宋体" w:eastAsia="宋体" w:cs="宋体"/>
          <w:sz w:val="24"/>
          <w:szCs w:val="24"/>
        </w:rPr>
        <w:t>2.检查水路、气路系统，保证水路、气路无漏水漏气现象，无堵塞现象，对蓄水</w:t>
      </w:r>
      <w:r>
        <w:rPr>
          <w:rFonts w:hint="eastAsia" w:ascii="宋体" w:hAnsi="宋体" w:eastAsia="宋体" w:cs="宋体"/>
          <w:spacing w:val="10"/>
          <w:sz w:val="24"/>
          <w:szCs w:val="24"/>
        </w:rPr>
        <w:t xml:space="preserve"> </w:t>
      </w:r>
      <w:r>
        <w:rPr>
          <w:rFonts w:hint="eastAsia" w:ascii="宋体" w:hAnsi="宋体" w:eastAsia="宋体" w:cs="宋体"/>
          <w:spacing w:val="12"/>
          <w:sz w:val="24"/>
          <w:szCs w:val="24"/>
        </w:rPr>
        <w:t>部件进行必要的清洗；</w:t>
      </w:r>
    </w:p>
    <w:p w14:paraId="49C46C94">
      <w:pPr>
        <w:pStyle w:val="37"/>
        <w:spacing w:line="298" w:lineRule="auto"/>
        <w:ind w:left="114" w:right="237" w:firstLine="450"/>
        <w:rPr>
          <w:rFonts w:hint="eastAsia" w:ascii="宋体" w:hAnsi="宋体" w:eastAsia="宋体" w:cs="宋体"/>
          <w:spacing w:val="5"/>
          <w:sz w:val="24"/>
          <w:szCs w:val="24"/>
        </w:rPr>
      </w:pPr>
      <w:r>
        <w:rPr>
          <w:rFonts w:hint="eastAsia" w:ascii="宋体" w:hAnsi="宋体" w:eastAsia="宋体" w:cs="宋体"/>
          <w:spacing w:val="5"/>
          <w:sz w:val="24"/>
          <w:szCs w:val="24"/>
        </w:rPr>
        <w:t>3.检查电路系统，保证系统供电正常，电压稳定；</w:t>
      </w:r>
    </w:p>
    <w:p w14:paraId="03CAC4A9">
      <w:pPr>
        <w:pStyle w:val="37"/>
        <w:spacing w:line="298" w:lineRule="auto"/>
        <w:ind w:left="114" w:right="237" w:firstLine="450"/>
        <w:rPr>
          <w:rFonts w:hint="eastAsia" w:ascii="宋体" w:hAnsi="宋体" w:eastAsia="宋体" w:cs="宋体"/>
          <w:spacing w:val="6"/>
          <w:sz w:val="24"/>
          <w:szCs w:val="24"/>
        </w:rPr>
      </w:pPr>
      <w:r>
        <w:rPr>
          <w:rFonts w:hint="eastAsia" w:ascii="宋体" w:hAnsi="宋体" w:eastAsia="宋体" w:cs="宋体"/>
          <w:spacing w:val="6"/>
          <w:sz w:val="24"/>
          <w:szCs w:val="24"/>
        </w:rPr>
        <w:t>4.检查通讯单元，保证数据传输正常；</w:t>
      </w:r>
    </w:p>
    <w:p w14:paraId="66598B45">
      <w:pPr>
        <w:pStyle w:val="37"/>
        <w:spacing w:line="298" w:lineRule="auto"/>
        <w:ind w:left="114" w:right="237" w:firstLine="450"/>
        <w:rPr>
          <w:rFonts w:hint="eastAsia" w:ascii="宋体" w:hAnsi="宋体" w:eastAsia="宋体" w:cs="宋体"/>
          <w:spacing w:val="5"/>
          <w:sz w:val="24"/>
          <w:szCs w:val="24"/>
        </w:rPr>
      </w:pPr>
      <w:r>
        <w:rPr>
          <w:rFonts w:hint="eastAsia" w:ascii="宋体" w:hAnsi="宋体" w:eastAsia="宋体" w:cs="宋体"/>
          <w:spacing w:val="5"/>
          <w:sz w:val="24"/>
          <w:szCs w:val="24"/>
        </w:rPr>
        <w:t>5.检查试剂、耗材的使用情况，进行必要的更换；</w:t>
      </w:r>
    </w:p>
    <w:p w14:paraId="3A0EE692">
      <w:pPr>
        <w:pStyle w:val="37"/>
        <w:spacing w:line="298" w:lineRule="auto"/>
        <w:ind w:left="114" w:right="237" w:firstLine="450"/>
        <w:rPr>
          <w:rFonts w:hint="eastAsia" w:ascii="宋体" w:hAnsi="宋体" w:eastAsia="宋体" w:cs="宋体"/>
          <w:spacing w:val="7"/>
          <w:sz w:val="24"/>
          <w:szCs w:val="24"/>
        </w:rPr>
      </w:pPr>
      <w:r>
        <w:rPr>
          <w:rFonts w:hint="eastAsia" w:ascii="宋体" w:hAnsi="宋体" w:eastAsia="宋体" w:cs="宋体"/>
          <w:spacing w:val="7"/>
          <w:sz w:val="24"/>
          <w:szCs w:val="24"/>
        </w:rPr>
        <w:t>6.及时收集仪器废液并妥善处置；</w:t>
      </w:r>
    </w:p>
    <w:p w14:paraId="79A679D3">
      <w:pPr>
        <w:pStyle w:val="37"/>
        <w:spacing w:line="298" w:lineRule="auto"/>
        <w:ind w:left="114" w:right="237" w:firstLine="450"/>
        <w:rPr>
          <w:rFonts w:hint="eastAsia" w:ascii="宋体" w:hAnsi="宋体" w:eastAsia="宋体" w:cs="宋体"/>
          <w:sz w:val="24"/>
          <w:szCs w:val="24"/>
        </w:rPr>
      </w:pPr>
      <w:r>
        <w:rPr>
          <w:rFonts w:hint="eastAsia" w:ascii="宋体" w:hAnsi="宋体" w:eastAsia="宋体" w:cs="宋体"/>
          <w:sz w:val="24"/>
          <w:szCs w:val="24"/>
        </w:rPr>
        <w:t>7.检查站房的安全设施，消除故障隐患。</w:t>
      </w:r>
    </w:p>
    <w:p w14:paraId="000F4305">
      <w:pPr>
        <w:pStyle w:val="37"/>
        <w:spacing w:before="165" w:line="219" w:lineRule="auto"/>
        <w:ind w:firstLine="484" w:firstLineChars="200"/>
        <w:rPr>
          <w:rFonts w:hint="eastAsia" w:ascii="宋体" w:hAnsi="宋体" w:eastAsia="宋体" w:cs="宋体"/>
          <w:sz w:val="24"/>
          <w:szCs w:val="24"/>
        </w:rPr>
      </w:pPr>
      <w:r>
        <w:rPr>
          <w:rFonts w:hint="eastAsia" w:ascii="宋体" w:hAnsi="宋体" w:eastAsia="宋体" w:cs="宋体"/>
          <w:spacing w:val="1"/>
          <w:sz w:val="24"/>
          <w:szCs w:val="24"/>
        </w:rPr>
        <w:t>(三)月校准核查</w:t>
      </w:r>
    </w:p>
    <w:p w14:paraId="02FDBD5D">
      <w:pPr>
        <w:pStyle w:val="37"/>
        <w:spacing w:before="12" w:line="368" w:lineRule="auto"/>
        <w:ind w:left="94" w:right="347" w:firstLine="480" w:firstLineChars="200"/>
        <w:rPr>
          <w:rFonts w:hint="eastAsia" w:ascii="宋体" w:hAnsi="宋体" w:eastAsia="宋体" w:cs="宋体"/>
          <w:sz w:val="24"/>
          <w:szCs w:val="24"/>
        </w:rPr>
      </w:pPr>
      <w:r>
        <w:rPr>
          <w:rFonts w:hint="eastAsia" w:ascii="宋体" w:hAnsi="宋体" w:eastAsia="宋体" w:cs="宋体"/>
          <w:sz w:val="24"/>
          <w:szCs w:val="24"/>
        </w:rPr>
        <w:t>每月至少对pH、电导率、浊度、COD、总磷、氨氮等重点参数进行1次标准物质核查及仪器校准，校准频次及精度要求须符合现行标准(包括项目实施期间发布或执行</w:t>
      </w:r>
      <w:r>
        <w:rPr>
          <w:rFonts w:hint="eastAsia" w:ascii="宋体" w:hAnsi="宋体" w:eastAsia="宋体" w:cs="宋体"/>
          <w:spacing w:val="11"/>
          <w:sz w:val="24"/>
          <w:szCs w:val="24"/>
        </w:rPr>
        <w:t xml:space="preserve"> </w:t>
      </w:r>
      <w:r>
        <w:rPr>
          <w:rFonts w:hint="eastAsia" w:ascii="宋体" w:hAnsi="宋体" w:eastAsia="宋体" w:cs="宋体"/>
          <w:spacing w:val="-1"/>
          <w:sz w:val="24"/>
          <w:szCs w:val="24"/>
        </w:rPr>
        <w:t>的标准),并记录核查结果。</w:t>
      </w:r>
    </w:p>
    <w:p w14:paraId="436AD2CF">
      <w:pPr>
        <w:pStyle w:val="37"/>
        <w:spacing w:before="15" w:line="219" w:lineRule="auto"/>
        <w:ind w:left="575"/>
        <w:rPr>
          <w:rFonts w:hint="eastAsia" w:ascii="宋体" w:hAnsi="宋体" w:eastAsia="宋体" w:cs="宋体"/>
          <w:sz w:val="24"/>
          <w:szCs w:val="24"/>
        </w:rPr>
      </w:pPr>
      <w:r>
        <w:rPr>
          <w:rFonts w:hint="eastAsia" w:ascii="宋体" w:hAnsi="宋体" w:eastAsia="宋体" w:cs="宋体"/>
          <w:sz w:val="24"/>
          <w:szCs w:val="24"/>
        </w:rPr>
        <w:t>(四)季度实际水样比对</w:t>
      </w:r>
    </w:p>
    <w:p w14:paraId="7A0089DC">
      <w:pPr>
        <w:pStyle w:val="37"/>
        <w:spacing w:before="165" w:line="219" w:lineRule="auto"/>
        <w:ind w:left="575"/>
        <w:rPr>
          <w:rFonts w:hint="eastAsia" w:ascii="宋体" w:hAnsi="宋体" w:eastAsia="宋体" w:cs="宋体"/>
          <w:sz w:val="24"/>
          <w:szCs w:val="24"/>
        </w:rPr>
      </w:pPr>
      <w:r>
        <w:rPr>
          <w:rFonts w:hint="eastAsia" w:ascii="宋体" w:hAnsi="宋体" w:eastAsia="宋体" w:cs="宋体"/>
          <w:sz w:val="24"/>
          <w:szCs w:val="24"/>
        </w:rPr>
        <w:t>每季度至少对主要参数进行1次实际水样比对，并记录比对结果。</w:t>
      </w:r>
    </w:p>
    <w:p w14:paraId="17422467">
      <w:pPr>
        <w:pStyle w:val="37"/>
        <w:spacing w:before="205" w:line="219" w:lineRule="auto"/>
        <w:ind w:left="0" w:leftChars="0" w:firstLine="559" w:firstLineChars="233"/>
        <w:rPr>
          <w:rFonts w:hint="eastAsia" w:ascii="宋体" w:hAnsi="宋体" w:eastAsia="宋体" w:cs="宋体"/>
          <w:sz w:val="24"/>
          <w:szCs w:val="24"/>
        </w:rPr>
      </w:pPr>
      <w:r>
        <w:rPr>
          <w:rFonts w:hint="eastAsia" w:ascii="宋体" w:hAnsi="宋体" w:eastAsia="宋体" w:cs="宋体"/>
          <w:sz w:val="24"/>
          <w:szCs w:val="24"/>
        </w:rPr>
        <w:t>(五)数据的数量及质量要求</w:t>
      </w:r>
    </w:p>
    <w:p w14:paraId="60486C91">
      <w:pPr>
        <w:pStyle w:val="37"/>
        <w:spacing w:before="174" w:line="358" w:lineRule="auto"/>
        <w:ind w:left="114" w:right="193" w:firstLine="480"/>
        <w:rPr>
          <w:rFonts w:hint="eastAsia" w:ascii="宋体" w:hAnsi="宋体" w:eastAsia="宋体" w:cs="宋体"/>
          <w:sz w:val="24"/>
          <w:szCs w:val="24"/>
        </w:rPr>
      </w:pPr>
      <w:r>
        <w:rPr>
          <w:rFonts w:hint="eastAsia" w:ascii="宋体" w:hAnsi="宋体" w:eastAsia="宋体" w:cs="宋体"/>
          <w:spacing w:val="1"/>
          <w:sz w:val="24"/>
          <w:szCs w:val="24"/>
        </w:rPr>
        <w:t>乙方应保证在运行服务期内，提供及时、准确、有效的检</w:t>
      </w:r>
      <w:r>
        <w:rPr>
          <w:rFonts w:hint="eastAsia" w:ascii="宋体" w:hAnsi="宋体" w:eastAsia="宋体" w:cs="宋体"/>
          <w:sz w:val="24"/>
          <w:szCs w:val="24"/>
        </w:rPr>
        <w:t>测数据，不断提高水质 自动监测站的运行质量，并达到以下指标：</w:t>
      </w:r>
    </w:p>
    <w:p w14:paraId="724FFDCD">
      <w:pPr>
        <w:pStyle w:val="37"/>
        <w:spacing w:line="219" w:lineRule="auto"/>
        <w:ind w:left="575"/>
        <w:rPr>
          <w:rFonts w:hint="eastAsia" w:ascii="宋体" w:hAnsi="宋体" w:eastAsia="宋体" w:cs="宋体"/>
          <w:sz w:val="24"/>
          <w:szCs w:val="24"/>
        </w:rPr>
      </w:pPr>
      <w:r>
        <w:rPr>
          <w:rFonts w:hint="eastAsia" w:ascii="宋体" w:hAnsi="宋体" w:eastAsia="宋体" w:cs="宋体"/>
          <w:spacing w:val="4"/>
          <w:sz w:val="24"/>
          <w:szCs w:val="24"/>
        </w:rPr>
        <w:t>系统正常运行率≥90%;</w:t>
      </w:r>
    </w:p>
    <w:p w14:paraId="7C65B2C4">
      <w:pPr>
        <w:pStyle w:val="37"/>
        <w:spacing w:before="165" w:line="219" w:lineRule="auto"/>
        <w:ind w:left="575"/>
        <w:rPr>
          <w:rFonts w:hint="eastAsia" w:ascii="宋体" w:hAnsi="宋体" w:eastAsia="宋体" w:cs="宋体"/>
          <w:sz w:val="24"/>
          <w:szCs w:val="24"/>
        </w:rPr>
      </w:pPr>
      <w:r>
        <w:rPr>
          <w:rFonts w:hint="eastAsia" w:ascii="宋体" w:hAnsi="宋体" w:eastAsia="宋体" w:cs="宋体"/>
          <w:spacing w:val="5"/>
          <w:sz w:val="24"/>
          <w:szCs w:val="24"/>
        </w:rPr>
        <w:t>数据到报率≥95%;</w:t>
      </w:r>
    </w:p>
    <w:p w14:paraId="0867A450">
      <w:pPr>
        <w:pStyle w:val="37"/>
        <w:spacing w:before="225" w:line="219" w:lineRule="auto"/>
        <w:ind w:left="575"/>
        <w:rPr>
          <w:rFonts w:hint="eastAsia" w:ascii="宋体" w:hAnsi="宋体" w:eastAsia="宋体" w:cs="宋体"/>
          <w:sz w:val="24"/>
          <w:szCs w:val="24"/>
        </w:rPr>
      </w:pPr>
      <w:r>
        <w:rPr>
          <w:rFonts w:hint="eastAsia" w:ascii="宋体" w:hAnsi="宋体" w:eastAsia="宋体" w:cs="宋体"/>
          <w:spacing w:val="4"/>
          <w:sz w:val="24"/>
          <w:szCs w:val="24"/>
        </w:rPr>
        <w:t>数据质控合格率≥95%;</w:t>
      </w:r>
    </w:p>
    <w:p w14:paraId="35C98E92">
      <w:pPr>
        <w:pStyle w:val="37"/>
        <w:spacing w:before="166" w:line="219" w:lineRule="auto"/>
        <w:ind w:left="575"/>
        <w:rPr>
          <w:rFonts w:hint="eastAsia" w:ascii="宋体" w:hAnsi="宋体" w:eastAsia="宋体" w:cs="宋体"/>
          <w:sz w:val="24"/>
          <w:szCs w:val="24"/>
        </w:rPr>
      </w:pPr>
      <w:r>
        <w:rPr>
          <w:rFonts w:hint="eastAsia" w:ascii="宋体" w:hAnsi="宋体" w:eastAsia="宋体" w:cs="宋体"/>
          <w:spacing w:val="-1"/>
          <w:sz w:val="24"/>
          <w:szCs w:val="24"/>
        </w:rPr>
        <w:t>异常情况处理率100%。</w:t>
      </w:r>
    </w:p>
    <w:p w14:paraId="7398730B">
      <w:pPr>
        <w:pStyle w:val="37"/>
        <w:spacing w:before="175" w:line="219" w:lineRule="auto"/>
        <w:jc w:val="left"/>
        <w:rPr>
          <w:rFonts w:hint="eastAsia" w:ascii="宋体" w:hAnsi="宋体" w:eastAsia="宋体" w:cs="宋体"/>
          <w:sz w:val="24"/>
          <w:szCs w:val="24"/>
        </w:rPr>
      </w:pPr>
      <w:r>
        <w:rPr>
          <w:rFonts w:hint="eastAsia" w:ascii="宋体" w:hAnsi="宋体" w:eastAsia="宋体" w:cs="宋体"/>
          <w:sz w:val="24"/>
          <w:szCs w:val="24"/>
        </w:rPr>
        <w:t>上述指标要求，除去停水、停电检修，性能测试及其他不</w:t>
      </w:r>
      <w:r>
        <w:rPr>
          <w:rFonts w:hint="eastAsia" w:ascii="宋体" w:hAnsi="宋体" w:eastAsia="宋体" w:cs="宋体"/>
          <w:spacing w:val="-1"/>
          <w:sz w:val="24"/>
          <w:szCs w:val="24"/>
        </w:rPr>
        <w:t>可抗拒因素引起的故</w:t>
      </w:r>
      <w:r>
        <w:rPr>
          <w:rFonts w:hint="eastAsia" w:ascii="宋体" w:hAnsi="宋体" w:eastAsia="宋体" w:cs="宋体"/>
          <w:spacing w:val="-1"/>
          <w:sz w:val="24"/>
          <w:szCs w:val="24"/>
          <w:lang w:eastAsia="zh-CN"/>
        </w:rPr>
        <w:t>障</w:t>
      </w:r>
      <w:r>
        <w:rPr>
          <w:rFonts w:hint="eastAsia" w:ascii="宋体" w:hAnsi="宋体" w:eastAsia="宋体" w:cs="宋体"/>
          <w:spacing w:val="-1"/>
          <w:sz w:val="24"/>
          <w:szCs w:val="24"/>
        </w:rPr>
        <w:t>。</w:t>
      </w:r>
    </w:p>
    <w:p w14:paraId="64F182C5">
      <w:pPr>
        <w:pStyle w:val="37"/>
        <w:spacing w:before="195" w:line="219"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(六)故障及应急响应要求</w:t>
      </w:r>
    </w:p>
    <w:p w14:paraId="33C6614F">
      <w:pPr>
        <w:pStyle w:val="37"/>
        <w:spacing w:before="185" w:line="351" w:lineRule="auto"/>
        <w:ind w:left="84" w:right="130" w:firstLine="510"/>
        <w:jc w:val="both"/>
        <w:rPr>
          <w:rFonts w:hint="eastAsia" w:ascii="宋体" w:hAnsi="宋体" w:eastAsia="宋体" w:cs="宋体"/>
          <w:sz w:val="24"/>
          <w:szCs w:val="24"/>
        </w:rPr>
      </w:pPr>
      <w:r>
        <w:rPr>
          <w:rFonts w:hint="eastAsia" w:ascii="宋体" w:hAnsi="宋体" w:eastAsia="宋体" w:cs="宋体"/>
          <w:sz w:val="24"/>
          <w:szCs w:val="24"/>
        </w:rPr>
        <w:t>1.当水质自动监测数据发现异常或发现所在断面发生污染事故时，必须配合甲方</w:t>
      </w:r>
      <w:r>
        <w:rPr>
          <w:rFonts w:hint="eastAsia" w:ascii="宋体" w:hAnsi="宋体" w:eastAsia="宋体" w:cs="宋体"/>
          <w:spacing w:val="8"/>
          <w:sz w:val="24"/>
          <w:szCs w:val="24"/>
        </w:rPr>
        <w:t xml:space="preserve"> </w:t>
      </w:r>
      <w:r>
        <w:rPr>
          <w:rFonts w:hint="eastAsia" w:ascii="宋体" w:hAnsi="宋体" w:eastAsia="宋体" w:cs="宋体"/>
          <w:sz w:val="24"/>
          <w:szCs w:val="24"/>
        </w:rPr>
        <w:t>开展水质自动站应急监测工作；同时，必须2小时内报告，并保证系统仪器正常运</w:t>
      </w:r>
      <w:r>
        <w:rPr>
          <w:rFonts w:hint="eastAsia" w:ascii="宋体" w:hAnsi="宋体" w:eastAsia="宋体" w:cs="宋体"/>
          <w:spacing w:val="-1"/>
          <w:sz w:val="24"/>
          <w:szCs w:val="24"/>
        </w:rPr>
        <w:t>行，</w:t>
      </w:r>
      <w:r>
        <w:rPr>
          <w:rFonts w:hint="eastAsia" w:ascii="宋体" w:hAnsi="宋体" w:eastAsia="宋体" w:cs="宋体"/>
          <w:sz w:val="24"/>
          <w:szCs w:val="24"/>
        </w:rPr>
        <w:t xml:space="preserve"> </w:t>
      </w:r>
      <w:r>
        <w:rPr>
          <w:rFonts w:hint="eastAsia" w:ascii="宋体" w:hAnsi="宋体" w:eastAsia="宋体" w:cs="宋体"/>
          <w:spacing w:val="1"/>
          <w:sz w:val="24"/>
          <w:szCs w:val="24"/>
        </w:rPr>
        <w:t>监测数据准确，传输畅通，按照甲方要求，</w:t>
      </w:r>
      <w:r>
        <w:rPr>
          <w:rFonts w:hint="eastAsia" w:ascii="宋体" w:hAnsi="宋体" w:eastAsia="宋体" w:cs="宋体"/>
          <w:sz w:val="24"/>
          <w:szCs w:val="24"/>
        </w:rPr>
        <w:t>必要时进行人工监测。</w:t>
      </w:r>
    </w:p>
    <w:p w14:paraId="5ECECA7E">
      <w:pPr>
        <w:pStyle w:val="37"/>
        <w:tabs>
          <w:tab w:val="left" w:pos="215"/>
        </w:tabs>
        <w:spacing w:before="24" w:line="355" w:lineRule="auto"/>
        <w:ind w:left="84" w:right="220" w:firstLine="480"/>
        <w:rPr>
          <w:rFonts w:hint="eastAsia" w:ascii="宋体" w:hAnsi="宋体" w:eastAsia="宋体" w:cs="宋体"/>
          <w:sz w:val="24"/>
          <w:szCs w:val="24"/>
        </w:rPr>
      </w:pPr>
      <w:r>
        <w:rPr>
          <w:rFonts w:hint="eastAsia" w:ascii="宋体" w:hAnsi="宋体" w:eastAsia="宋体" w:cs="宋体"/>
          <w:sz w:val="24"/>
          <w:szCs w:val="24"/>
        </w:rPr>
        <w:t>2.当设备或系统仪器出现故障时，必须4小时内赶至现场，进行故障解决；故障</w:t>
      </w:r>
      <w:r>
        <w:rPr>
          <w:rFonts w:hint="eastAsia" w:ascii="宋体" w:hAnsi="宋体" w:eastAsia="宋体" w:cs="宋体"/>
          <w:spacing w:val="4"/>
          <w:sz w:val="24"/>
          <w:szCs w:val="24"/>
        </w:rPr>
        <w:t xml:space="preserve">  </w:t>
      </w:r>
      <w:r>
        <w:rPr>
          <w:rFonts w:hint="eastAsia" w:ascii="宋体" w:hAnsi="宋体" w:eastAsia="宋体" w:cs="宋体"/>
          <w:sz w:val="24"/>
          <w:szCs w:val="24"/>
        </w:rPr>
        <w:t>持续时间超过24小时未能修复时，乙方应及时说明原因上报甲方，故障排除后乙方应</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说明原因并及时上报甲方备案。如48小时内无法排除故障，应</w:t>
      </w:r>
      <w:r>
        <w:rPr>
          <w:rFonts w:hint="eastAsia" w:ascii="宋体" w:hAnsi="宋体" w:eastAsia="宋体" w:cs="宋体"/>
          <w:sz w:val="24"/>
          <w:szCs w:val="24"/>
        </w:rPr>
        <w:t xml:space="preserve">无条件更换并使用备机 </w:t>
      </w:r>
      <w:r>
        <w:rPr>
          <w:rFonts w:hint="eastAsia" w:ascii="宋体" w:hAnsi="宋体" w:eastAsia="宋体" w:cs="宋体"/>
          <w:sz w:val="24"/>
          <w:szCs w:val="24"/>
        </w:rPr>
        <w:tab/>
      </w:r>
      <w:r>
        <w:rPr>
          <w:rFonts w:hint="eastAsia" w:ascii="宋体" w:hAnsi="宋体" w:eastAsia="宋体" w:cs="宋体"/>
          <w:sz w:val="24"/>
          <w:szCs w:val="24"/>
        </w:rPr>
        <w:t>(备机由乙方免费提供，直至设备维修完成),并在48小时内，现场安装、调试完</w:t>
      </w:r>
      <w:r>
        <w:rPr>
          <w:rFonts w:hint="eastAsia" w:ascii="宋体" w:hAnsi="宋体" w:eastAsia="宋体" w:cs="宋体"/>
          <w:spacing w:val="-1"/>
          <w:sz w:val="24"/>
          <w:szCs w:val="24"/>
        </w:rPr>
        <w:t>毕，</w:t>
      </w:r>
      <w:r>
        <w:rPr>
          <w:rFonts w:hint="eastAsia" w:ascii="宋体" w:hAnsi="宋体" w:eastAsia="宋体" w:cs="宋体"/>
          <w:sz w:val="24"/>
          <w:szCs w:val="24"/>
        </w:rPr>
        <w:t xml:space="preserve"> </w:t>
      </w:r>
      <w:r>
        <w:rPr>
          <w:rFonts w:hint="eastAsia" w:ascii="宋体" w:hAnsi="宋体" w:eastAsia="宋体" w:cs="宋体"/>
          <w:spacing w:val="1"/>
          <w:sz w:val="24"/>
          <w:szCs w:val="24"/>
        </w:rPr>
        <w:t>并具备数据上传及自动监测功能。</w:t>
      </w:r>
    </w:p>
    <w:p w14:paraId="227D6C77">
      <w:pPr>
        <w:pStyle w:val="37"/>
        <w:spacing w:line="298" w:lineRule="auto"/>
        <w:ind w:left="74" w:right="248" w:firstLine="480"/>
        <w:rPr>
          <w:rFonts w:hint="eastAsia" w:ascii="宋体" w:hAnsi="宋体" w:eastAsia="宋体" w:cs="宋体"/>
          <w:sz w:val="24"/>
          <w:szCs w:val="24"/>
        </w:rPr>
      </w:pPr>
      <w:r>
        <w:rPr>
          <w:rFonts w:hint="eastAsia" w:ascii="宋体" w:hAnsi="宋体" w:eastAsia="宋体" w:cs="宋体"/>
          <w:sz w:val="24"/>
          <w:szCs w:val="24"/>
        </w:rPr>
        <w:t>3.乙方应在更换故障备件前准确判断备件故障原因，详细记录备件故障、返修等</w:t>
      </w:r>
      <w:r>
        <w:rPr>
          <w:rFonts w:hint="eastAsia" w:ascii="宋体" w:hAnsi="宋体" w:eastAsia="宋体" w:cs="宋体"/>
          <w:spacing w:val="10"/>
          <w:sz w:val="24"/>
          <w:szCs w:val="24"/>
        </w:rPr>
        <w:t xml:space="preserve"> </w:t>
      </w:r>
      <w:r>
        <w:rPr>
          <w:rFonts w:hint="eastAsia" w:ascii="宋体" w:hAnsi="宋体" w:eastAsia="宋体" w:cs="宋体"/>
          <w:sz w:val="24"/>
          <w:szCs w:val="24"/>
        </w:rPr>
        <w:t>情况，应避免因故障判断不准确或无故障备件返修的情况发生。</w:t>
      </w:r>
    </w:p>
    <w:p w14:paraId="761BFDE9">
      <w:pPr>
        <w:pStyle w:val="37"/>
        <w:spacing w:line="298" w:lineRule="auto"/>
        <w:ind w:left="74" w:right="248" w:firstLine="480"/>
        <w:rPr>
          <w:rFonts w:hint="eastAsia" w:ascii="宋体" w:hAnsi="宋体" w:eastAsia="宋体" w:cs="宋体"/>
          <w:spacing w:val="-1"/>
          <w:sz w:val="24"/>
          <w:szCs w:val="24"/>
        </w:rPr>
      </w:pPr>
      <w:r>
        <w:rPr>
          <w:rFonts w:hint="eastAsia" w:ascii="宋体" w:hAnsi="宋体" w:eastAsia="宋体" w:cs="宋体"/>
          <w:sz w:val="24"/>
          <w:szCs w:val="24"/>
        </w:rPr>
        <w:t>4.乙方应配备相应便携设备，具备现场快速检测能力，当</w:t>
      </w:r>
      <w:r>
        <w:rPr>
          <w:rFonts w:hint="eastAsia" w:ascii="宋体" w:hAnsi="宋体" w:eastAsia="宋体" w:cs="宋体"/>
          <w:spacing w:val="-1"/>
          <w:sz w:val="24"/>
          <w:szCs w:val="24"/>
        </w:rPr>
        <w:t>水质自动监测数据发现</w:t>
      </w:r>
      <w:r>
        <w:rPr>
          <w:rFonts w:hint="eastAsia" w:ascii="宋体" w:hAnsi="宋体" w:eastAsia="宋体" w:cs="宋体"/>
          <w:sz w:val="24"/>
          <w:szCs w:val="24"/>
        </w:rPr>
        <w:t xml:space="preserve"> 异常或发现所在断面发生污染事故时，及时进行人工比</w:t>
      </w:r>
      <w:r>
        <w:rPr>
          <w:rFonts w:hint="eastAsia" w:ascii="宋体" w:hAnsi="宋体" w:eastAsia="宋体" w:cs="宋体"/>
          <w:spacing w:val="-1"/>
          <w:sz w:val="24"/>
          <w:szCs w:val="24"/>
        </w:rPr>
        <w:t>对。</w:t>
      </w:r>
    </w:p>
    <w:p w14:paraId="1F28A414">
      <w:pPr>
        <w:pStyle w:val="37"/>
        <w:spacing w:line="298" w:lineRule="auto"/>
        <w:ind w:left="74" w:right="248" w:firstLine="480"/>
        <w:rPr>
          <w:rFonts w:hint="eastAsia" w:ascii="宋体" w:hAnsi="宋体" w:eastAsia="宋体" w:cs="宋体"/>
          <w:sz w:val="24"/>
          <w:szCs w:val="24"/>
        </w:rPr>
      </w:pPr>
      <w:r>
        <w:rPr>
          <w:rFonts w:hint="eastAsia" w:ascii="宋体" w:hAnsi="宋体" w:eastAsia="宋体" w:cs="宋体"/>
          <w:sz w:val="24"/>
          <w:szCs w:val="24"/>
        </w:rPr>
        <w:t>5.做好仪器设备故障、维护等各项记录。</w:t>
      </w:r>
    </w:p>
    <w:p w14:paraId="756ED7EC">
      <w:pPr>
        <w:pStyle w:val="37"/>
        <w:spacing w:before="166" w:line="219"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(七)数据安全及保密要求</w:t>
      </w:r>
    </w:p>
    <w:p w14:paraId="4A9B22BE">
      <w:pPr>
        <w:ind w:firstLine="480" w:firstLineChars="200"/>
        <w:rPr>
          <w:rFonts w:hint="eastAsia" w:ascii="宋体" w:hAnsi="宋体" w:eastAsia="宋体" w:cs="宋体"/>
          <w:sz w:val="24"/>
          <w:szCs w:val="24"/>
        </w:rPr>
      </w:pPr>
      <w:r>
        <w:rPr>
          <w:rFonts w:hint="eastAsia" w:ascii="宋体" w:hAnsi="宋体" w:eastAsia="宋体" w:cs="宋体"/>
          <w:sz w:val="24"/>
          <w:szCs w:val="24"/>
        </w:rPr>
        <w:t>乙方必须认真做好原始数据的存储，并做好备份，确保数据不丢失，按年度提交电子版原始数据备份。</w:t>
      </w:r>
    </w:p>
    <w:tbl>
      <w:tblPr>
        <w:tblStyle w:val="36"/>
        <w:tblW w:w="9821"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87"/>
        <w:gridCol w:w="786"/>
        <w:gridCol w:w="3165"/>
        <w:gridCol w:w="1970"/>
        <w:gridCol w:w="2313"/>
      </w:tblGrid>
      <w:tr w14:paraId="53515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73" w:hRule="atLeast"/>
        </w:trPr>
        <w:tc>
          <w:tcPr>
            <w:tcW w:w="9821" w:type="dxa"/>
            <w:gridSpan w:val="5"/>
            <w:vAlign w:val="top"/>
          </w:tcPr>
          <w:p w14:paraId="4B00DB67">
            <w:pPr>
              <w:pStyle w:val="37"/>
              <w:spacing w:before="43" w:line="340" w:lineRule="auto"/>
              <w:ind w:left="64" w:right="123" w:firstLine="520"/>
              <w:rPr>
                <w:rFonts w:hint="eastAsia" w:ascii="宋体" w:hAnsi="宋体" w:eastAsia="宋体" w:cs="宋体"/>
                <w:sz w:val="24"/>
                <w:szCs w:val="24"/>
              </w:rPr>
            </w:pPr>
            <w:r>
              <w:rPr>
                <w:rFonts w:hint="eastAsia" w:ascii="宋体" w:hAnsi="宋体" w:eastAsia="宋体" w:cs="宋体"/>
                <w:sz w:val="24"/>
                <w:szCs w:val="24"/>
              </w:rPr>
              <w:t>乙方必须承担水质自动监测数据的保密责任，未经甲方许可，不得以任何理由或</w:t>
            </w:r>
            <w:r>
              <w:rPr>
                <w:rFonts w:hint="eastAsia" w:ascii="宋体" w:hAnsi="宋体" w:eastAsia="宋体" w:cs="宋体"/>
                <w:spacing w:val="10"/>
                <w:sz w:val="24"/>
                <w:szCs w:val="24"/>
              </w:rPr>
              <w:t xml:space="preserve"> </w:t>
            </w:r>
            <w:r>
              <w:rPr>
                <w:rFonts w:hint="eastAsia" w:ascii="宋体" w:hAnsi="宋体" w:eastAsia="宋体" w:cs="宋体"/>
                <w:sz w:val="24"/>
                <w:szCs w:val="24"/>
              </w:rPr>
              <w:t>方式复制、使用、传递、发布、变更和销毁水质监测站数据。</w:t>
            </w:r>
          </w:p>
          <w:p w14:paraId="772B0925">
            <w:pPr>
              <w:pStyle w:val="37"/>
              <w:spacing w:before="57" w:line="219" w:lineRule="auto"/>
              <w:ind w:left="585"/>
              <w:rPr>
                <w:rFonts w:hint="eastAsia" w:ascii="宋体" w:hAnsi="宋体" w:eastAsia="宋体" w:cs="宋体"/>
                <w:sz w:val="24"/>
                <w:szCs w:val="24"/>
              </w:rPr>
            </w:pPr>
            <w:r>
              <w:rPr>
                <w:rFonts w:hint="eastAsia" w:ascii="宋体" w:hAnsi="宋体" w:eastAsia="宋体" w:cs="宋体"/>
                <w:spacing w:val="1"/>
                <w:sz w:val="24"/>
                <w:szCs w:val="24"/>
              </w:rPr>
              <w:t>(八)档案要求</w:t>
            </w:r>
          </w:p>
          <w:p w14:paraId="7987ECBA">
            <w:pPr>
              <w:pStyle w:val="37"/>
              <w:spacing w:before="183" w:line="219" w:lineRule="auto"/>
              <w:ind w:left="0" w:leftChars="0" w:firstLine="458" w:firstLineChars="191"/>
              <w:rPr>
                <w:rFonts w:hint="eastAsia" w:ascii="宋体" w:hAnsi="宋体" w:eastAsia="宋体" w:cs="宋体"/>
                <w:sz w:val="24"/>
                <w:szCs w:val="24"/>
              </w:rPr>
            </w:pPr>
            <w:r>
              <w:rPr>
                <w:rFonts w:hint="eastAsia" w:ascii="宋体" w:hAnsi="宋体" w:eastAsia="宋体" w:cs="宋体"/>
                <w:sz w:val="24"/>
                <w:szCs w:val="24"/>
              </w:rPr>
              <w:t>乙方应提供不低于以下数量的运行维护档案：日监视记录365天；周巡检记录52份；校准核查记录12份；实际水样比对记录4</w:t>
            </w:r>
            <w:r>
              <w:rPr>
                <w:rFonts w:hint="eastAsia" w:ascii="宋体" w:hAnsi="宋体" w:eastAsia="宋体" w:cs="宋体"/>
                <w:spacing w:val="7"/>
                <w:sz w:val="24"/>
                <w:szCs w:val="24"/>
              </w:rPr>
              <w:t xml:space="preserve"> </w:t>
            </w:r>
            <w:r>
              <w:rPr>
                <w:rFonts w:hint="eastAsia" w:ascii="宋体" w:hAnsi="宋体" w:eastAsia="宋体" w:cs="宋体"/>
                <w:sz w:val="24"/>
                <w:szCs w:val="24"/>
              </w:rPr>
              <w:t>份；月度总结12份；半年度总结1份；年度总结1</w:t>
            </w:r>
            <w:r>
              <w:rPr>
                <w:rFonts w:hint="eastAsia" w:ascii="宋体" w:hAnsi="宋体" w:eastAsia="宋体" w:cs="宋体"/>
                <w:spacing w:val="-1"/>
                <w:sz w:val="24"/>
                <w:szCs w:val="24"/>
              </w:rPr>
              <w:t>份。</w:t>
            </w:r>
          </w:p>
          <w:p w14:paraId="342F8316">
            <w:pPr>
              <w:pStyle w:val="37"/>
              <w:spacing w:before="15" w:line="220" w:lineRule="auto"/>
              <w:ind w:left="585"/>
              <w:rPr>
                <w:rFonts w:hint="eastAsia" w:ascii="宋体" w:hAnsi="宋体" w:eastAsia="宋体" w:cs="宋体"/>
                <w:sz w:val="24"/>
                <w:szCs w:val="24"/>
              </w:rPr>
            </w:pPr>
            <w:r>
              <w:rPr>
                <w:rFonts w:hint="eastAsia" w:ascii="宋体" w:hAnsi="宋体" w:eastAsia="宋体" w:cs="宋体"/>
                <w:spacing w:val="1"/>
                <w:sz w:val="24"/>
                <w:szCs w:val="24"/>
              </w:rPr>
              <w:t>(九)其他要求</w:t>
            </w:r>
          </w:p>
          <w:p w14:paraId="35DB337F">
            <w:pPr>
              <w:pStyle w:val="37"/>
              <w:spacing w:before="173" w:line="363" w:lineRule="auto"/>
              <w:ind w:left="64" w:right="140" w:firstLine="5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本项目中的所有试剂、耗材、备件及维修配件均由乙方提供，甲方不承担任何费用。乙方需确保所供应试剂、耗材、备件及维修配件的质量符合设备运行要求。</w:t>
            </w:r>
          </w:p>
          <w:p w14:paraId="30166DE1">
            <w:pPr>
              <w:pStyle w:val="37"/>
              <w:spacing w:before="173" w:line="363" w:lineRule="auto"/>
              <w:ind w:left="64" w:right="140" w:firstLine="5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2.每日对数据进行初审，确保数据准确率。</w:t>
            </w:r>
          </w:p>
          <w:p w14:paraId="79255C4A">
            <w:pPr>
              <w:pStyle w:val="37"/>
              <w:spacing w:before="173" w:line="363" w:lineRule="auto"/>
              <w:ind w:left="64" w:right="140" w:firstLine="500"/>
              <w:rPr>
                <w:rFonts w:hint="eastAsia" w:ascii="宋体" w:hAnsi="宋体" w:eastAsia="宋体" w:cs="宋体"/>
                <w:sz w:val="24"/>
                <w:szCs w:val="24"/>
              </w:rPr>
            </w:pPr>
            <w:r>
              <w:rPr>
                <w:rFonts w:hint="eastAsia" w:ascii="宋体" w:hAnsi="宋体" w:eastAsia="宋体" w:cs="宋体"/>
                <w:sz w:val="24"/>
                <w:szCs w:val="24"/>
                <w:lang w:val="en-US" w:eastAsia="zh-CN"/>
              </w:rPr>
              <w:t>3.根据工作安排，需要移站时，必须无条件配合。</w:t>
            </w:r>
            <w:r>
              <w:rPr>
                <w:rFonts w:hint="eastAsia" w:ascii="宋体" w:hAnsi="宋体" w:eastAsia="宋体" w:cs="宋体"/>
                <w:sz w:val="24"/>
                <w:szCs w:val="24"/>
              </w:rPr>
              <w:t>二、工作条件和协作事项：</w:t>
            </w:r>
          </w:p>
          <w:p w14:paraId="327399C5">
            <w:pPr>
              <w:pStyle w:val="37"/>
              <w:spacing w:before="154" w:line="327" w:lineRule="auto"/>
              <w:ind w:left="44" w:right="143" w:firstLine="520"/>
              <w:rPr>
                <w:rFonts w:hint="eastAsia" w:ascii="宋体" w:hAnsi="宋体" w:eastAsia="宋体" w:cs="宋体"/>
                <w:sz w:val="24"/>
                <w:szCs w:val="24"/>
              </w:rPr>
            </w:pPr>
            <w:r>
              <w:rPr>
                <w:rFonts w:hint="eastAsia" w:ascii="宋体" w:hAnsi="宋体" w:eastAsia="宋体" w:cs="宋体"/>
                <w:sz w:val="24"/>
                <w:szCs w:val="24"/>
              </w:rPr>
              <w:t>为保证乙方有效进行技术服务工作，甲方应当向乙方提供下列工作条件和协作事</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项</w:t>
            </w:r>
            <w:r>
              <w:rPr>
                <w:rFonts w:hint="eastAsia" w:ascii="宋体" w:hAnsi="宋体" w:eastAsia="宋体" w:cs="宋体"/>
                <w:spacing w:val="-52"/>
                <w:sz w:val="24"/>
                <w:szCs w:val="24"/>
              </w:rPr>
              <w:t xml:space="preserve"> </w:t>
            </w:r>
            <w:r>
              <w:rPr>
                <w:rFonts w:hint="eastAsia" w:ascii="宋体" w:hAnsi="宋体" w:eastAsia="宋体" w:cs="宋体"/>
                <w:spacing w:val="-7"/>
                <w:sz w:val="24"/>
                <w:szCs w:val="24"/>
              </w:rPr>
              <w:t>：</w:t>
            </w:r>
          </w:p>
          <w:p w14:paraId="1BA8BEE0">
            <w:pPr>
              <w:pStyle w:val="37"/>
              <w:spacing w:before="70" w:line="219" w:lineRule="auto"/>
              <w:ind w:left="585"/>
              <w:rPr>
                <w:rFonts w:hint="eastAsia" w:ascii="宋体" w:hAnsi="宋体" w:eastAsia="宋体" w:cs="宋体"/>
                <w:sz w:val="24"/>
                <w:szCs w:val="24"/>
              </w:rPr>
            </w:pPr>
            <w:r>
              <w:rPr>
                <w:rFonts w:hint="eastAsia" w:ascii="宋体" w:hAnsi="宋体" w:eastAsia="宋体" w:cs="宋体"/>
                <w:sz w:val="24"/>
                <w:szCs w:val="24"/>
              </w:rPr>
              <w:t>(一)提供技术资料：无</w:t>
            </w:r>
          </w:p>
          <w:p w14:paraId="2B09F6FA">
            <w:pPr>
              <w:pStyle w:val="37"/>
              <w:spacing w:before="185" w:line="219" w:lineRule="auto"/>
              <w:ind w:left="585"/>
              <w:rPr>
                <w:rFonts w:hint="eastAsia" w:ascii="宋体" w:hAnsi="宋体" w:eastAsia="宋体" w:cs="宋体"/>
                <w:sz w:val="24"/>
                <w:szCs w:val="24"/>
                <w:lang w:eastAsia="zh-CN"/>
              </w:rPr>
            </w:pPr>
            <w:r>
              <w:rPr>
                <w:rFonts w:hint="eastAsia" w:ascii="宋体" w:hAnsi="宋体" w:eastAsia="宋体" w:cs="宋体"/>
                <w:sz w:val="24"/>
                <w:szCs w:val="24"/>
              </w:rPr>
              <w:t>(二)提供工作条件：</w:t>
            </w:r>
            <w:r>
              <w:rPr>
                <w:rFonts w:hint="eastAsia" w:ascii="宋体" w:hAnsi="宋体" w:eastAsia="宋体" w:cs="宋体"/>
                <w:sz w:val="24"/>
                <w:szCs w:val="24"/>
                <w:lang w:eastAsia="zh-CN"/>
              </w:rPr>
              <w:t>甲方协助乙方就近接电工作，电费由乙方结算。</w:t>
            </w:r>
          </w:p>
          <w:p w14:paraId="018A8A9F">
            <w:pPr>
              <w:pStyle w:val="37"/>
              <w:spacing w:before="188" w:line="220" w:lineRule="auto"/>
              <w:ind w:left="585"/>
              <w:rPr>
                <w:rFonts w:hint="eastAsia" w:ascii="宋体" w:hAnsi="宋体" w:eastAsia="宋体" w:cs="宋体"/>
                <w:sz w:val="24"/>
                <w:szCs w:val="24"/>
              </w:rPr>
            </w:pPr>
            <w:r>
              <w:rPr>
                <w:rFonts w:hint="eastAsia" w:ascii="宋体" w:hAnsi="宋体" w:eastAsia="宋体" w:cs="宋体"/>
                <w:spacing w:val="1"/>
                <w:sz w:val="24"/>
                <w:szCs w:val="24"/>
              </w:rPr>
              <w:t>(三)其他：无</w:t>
            </w:r>
          </w:p>
          <w:p w14:paraId="5099CE29">
            <w:pPr>
              <w:pStyle w:val="37"/>
              <w:spacing w:before="174" w:line="220" w:lineRule="auto"/>
              <w:ind w:left="585"/>
              <w:rPr>
                <w:rFonts w:hint="eastAsia" w:ascii="宋体" w:hAnsi="宋体" w:eastAsia="宋体" w:cs="宋体"/>
                <w:sz w:val="24"/>
                <w:szCs w:val="24"/>
                <w:lang w:val="en-US" w:eastAsia="zh-CN"/>
              </w:rPr>
            </w:pPr>
            <w:r>
              <w:rPr>
                <w:rFonts w:hint="eastAsia" w:ascii="宋体" w:hAnsi="宋体" w:eastAsia="宋体" w:cs="宋体"/>
                <w:spacing w:val="-1"/>
                <w:sz w:val="24"/>
                <w:szCs w:val="24"/>
              </w:rPr>
              <w:t>三、履行期限、地点和方式</w:t>
            </w:r>
          </w:p>
          <w:p w14:paraId="03F07E0A">
            <w:pPr>
              <w:pStyle w:val="37"/>
              <w:spacing w:before="203" w:line="219" w:lineRule="auto"/>
              <w:ind w:left="585"/>
              <w:rPr>
                <w:rFonts w:hint="eastAsia" w:ascii="宋体" w:hAnsi="宋体" w:eastAsia="宋体" w:cs="宋体"/>
                <w:sz w:val="24"/>
                <w:szCs w:val="24"/>
              </w:rPr>
            </w:pPr>
            <w:r>
              <w:rPr>
                <w:rFonts w:hint="eastAsia" w:ascii="宋体" w:hAnsi="宋体" w:eastAsia="宋体" w:cs="宋体"/>
                <w:sz w:val="24"/>
                <w:szCs w:val="24"/>
              </w:rPr>
              <w:t>乙方应按下列要求完成服务工作：</w:t>
            </w:r>
          </w:p>
          <w:p w14:paraId="04D77F09">
            <w:pPr>
              <w:pStyle w:val="37"/>
              <w:spacing w:before="155" w:line="219" w:lineRule="auto"/>
              <w:ind w:left="585"/>
              <w:rPr>
                <w:rFonts w:hint="eastAsia" w:ascii="宋体" w:hAnsi="宋体" w:eastAsia="宋体" w:cs="宋体"/>
                <w:sz w:val="24"/>
                <w:szCs w:val="24"/>
              </w:rPr>
            </w:pPr>
            <w:r>
              <w:rPr>
                <w:rFonts w:hint="eastAsia" w:ascii="宋体" w:hAnsi="宋体" w:eastAsia="宋体" w:cs="宋体"/>
                <w:sz w:val="24"/>
                <w:szCs w:val="24"/>
              </w:rPr>
              <w:t>(一)服务地点：</w:t>
            </w:r>
          </w:p>
        </w:tc>
      </w:tr>
      <w:tr w14:paraId="535B9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9" w:hRule="atLeast"/>
        </w:trPr>
        <w:tc>
          <w:tcPr>
            <w:tcW w:w="1587" w:type="dxa"/>
            <w:vMerge w:val="restart"/>
            <w:tcBorders>
              <w:top w:val="nil"/>
              <w:left w:val="nil"/>
              <w:bottom w:val="nil"/>
              <w:right w:val="single" w:color="auto" w:sz="4" w:space="0"/>
            </w:tcBorders>
            <w:vAlign w:val="top"/>
          </w:tcPr>
          <w:p w14:paraId="1F524E92">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5E275068">
            <w:pPr>
              <w:pStyle w:val="37"/>
              <w:spacing w:before="39" w:line="193" w:lineRule="auto"/>
              <w:ind w:left="142"/>
              <w:rPr>
                <w:rFonts w:hint="eastAsia" w:ascii="宋体" w:hAnsi="宋体" w:eastAsia="宋体" w:cs="宋体"/>
                <w:sz w:val="24"/>
                <w:szCs w:val="24"/>
              </w:rPr>
            </w:pPr>
            <w:r>
              <w:rPr>
                <w:rFonts w:hint="eastAsia" w:ascii="宋体" w:hAnsi="宋体" w:eastAsia="宋体" w:cs="宋体"/>
                <w:spacing w:val="7"/>
                <w:sz w:val="24"/>
                <w:szCs w:val="24"/>
              </w:rPr>
              <w:t>序号</w:t>
            </w:r>
          </w:p>
        </w:tc>
        <w:tc>
          <w:tcPr>
            <w:tcW w:w="3165" w:type="dxa"/>
            <w:tcBorders>
              <w:top w:val="single" w:color="auto" w:sz="4" w:space="0"/>
              <w:left w:val="single" w:color="auto" w:sz="4" w:space="0"/>
              <w:bottom w:val="single" w:color="auto" w:sz="4" w:space="0"/>
              <w:right w:val="single" w:color="auto" w:sz="4" w:space="0"/>
            </w:tcBorders>
            <w:vAlign w:val="top"/>
          </w:tcPr>
          <w:p w14:paraId="7202DDDB">
            <w:pPr>
              <w:pStyle w:val="37"/>
              <w:spacing w:before="39" w:line="193" w:lineRule="auto"/>
              <w:ind w:left="1103"/>
              <w:rPr>
                <w:rFonts w:hint="eastAsia" w:ascii="宋体" w:hAnsi="宋体" w:eastAsia="宋体" w:cs="宋体"/>
                <w:sz w:val="24"/>
                <w:szCs w:val="24"/>
              </w:rPr>
            </w:pPr>
            <w:r>
              <w:rPr>
                <w:rFonts w:hint="eastAsia" w:ascii="宋体" w:hAnsi="宋体" w:eastAsia="宋体" w:cs="宋体"/>
                <w:spacing w:val="3"/>
                <w:sz w:val="24"/>
                <w:szCs w:val="24"/>
              </w:rPr>
              <w:t>测站名称</w:t>
            </w:r>
          </w:p>
        </w:tc>
        <w:tc>
          <w:tcPr>
            <w:tcW w:w="1970" w:type="dxa"/>
            <w:tcBorders>
              <w:top w:val="single" w:color="auto" w:sz="4" w:space="0"/>
              <w:left w:val="single" w:color="auto" w:sz="4" w:space="0"/>
              <w:bottom w:val="single" w:color="auto" w:sz="4" w:space="0"/>
              <w:right w:val="single" w:color="auto" w:sz="4" w:space="0"/>
            </w:tcBorders>
            <w:vAlign w:val="top"/>
          </w:tcPr>
          <w:p w14:paraId="58E00298">
            <w:pPr>
              <w:pStyle w:val="37"/>
              <w:spacing w:before="36" w:line="195" w:lineRule="auto"/>
              <w:ind w:left="505"/>
              <w:rPr>
                <w:rFonts w:hint="eastAsia" w:ascii="宋体" w:hAnsi="宋体" w:eastAsia="宋体" w:cs="宋体"/>
                <w:sz w:val="24"/>
                <w:szCs w:val="24"/>
              </w:rPr>
            </w:pPr>
            <w:r>
              <w:rPr>
                <w:rFonts w:hint="eastAsia" w:ascii="宋体" w:hAnsi="宋体" w:eastAsia="宋体" w:cs="宋体"/>
                <w:spacing w:val="4"/>
                <w:sz w:val="24"/>
                <w:szCs w:val="24"/>
              </w:rPr>
              <w:t>测站类别</w:t>
            </w:r>
          </w:p>
        </w:tc>
        <w:tc>
          <w:tcPr>
            <w:tcW w:w="2313" w:type="dxa"/>
            <w:vMerge w:val="restart"/>
            <w:tcBorders>
              <w:left w:val="single" w:color="auto" w:sz="4" w:space="0"/>
            </w:tcBorders>
            <w:vAlign w:val="top"/>
          </w:tcPr>
          <w:p w14:paraId="606F0170">
            <w:pPr>
              <w:rPr>
                <w:rFonts w:hint="eastAsia" w:ascii="宋体" w:hAnsi="宋体" w:eastAsia="宋体" w:cs="宋体"/>
                <w:sz w:val="24"/>
                <w:szCs w:val="24"/>
              </w:rPr>
            </w:pPr>
          </w:p>
        </w:tc>
      </w:tr>
      <w:tr w14:paraId="35353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7" w:hRule="atLeast"/>
        </w:trPr>
        <w:tc>
          <w:tcPr>
            <w:tcW w:w="1587" w:type="dxa"/>
            <w:vMerge w:val="continue"/>
            <w:tcBorders>
              <w:top w:val="nil"/>
              <w:left w:val="nil"/>
              <w:bottom w:val="nil"/>
              <w:right w:val="single" w:color="auto" w:sz="4" w:space="0"/>
            </w:tcBorders>
            <w:vAlign w:val="top"/>
          </w:tcPr>
          <w:p w14:paraId="00F6C301">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65465A69">
            <w:pPr>
              <w:pStyle w:val="37"/>
              <w:spacing w:before="67" w:line="179"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165" w:type="dxa"/>
            <w:tcBorders>
              <w:top w:val="single" w:color="auto" w:sz="4" w:space="0"/>
              <w:left w:val="single" w:color="auto" w:sz="4" w:space="0"/>
              <w:bottom w:val="single" w:color="auto" w:sz="4" w:space="0"/>
              <w:right w:val="single" w:color="auto" w:sz="4" w:space="0"/>
            </w:tcBorders>
            <w:vAlign w:val="top"/>
          </w:tcPr>
          <w:p w14:paraId="79EC6F24">
            <w:pPr>
              <w:pStyle w:val="37"/>
              <w:spacing w:before="47" w:line="194" w:lineRule="auto"/>
              <w:jc w:val="center"/>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小太湖站</w:t>
            </w:r>
          </w:p>
        </w:tc>
        <w:tc>
          <w:tcPr>
            <w:tcW w:w="1970" w:type="dxa"/>
            <w:tcBorders>
              <w:top w:val="single" w:color="auto" w:sz="4" w:space="0"/>
              <w:left w:val="single" w:color="auto" w:sz="4" w:space="0"/>
              <w:bottom w:val="single" w:color="auto" w:sz="4" w:space="0"/>
              <w:right w:val="single" w:color="auto" w:sz="4" w:space="0"/>
            </w:tcBorders>
            <w:vAlign w:val="top"/>
          </w:tcPr>
          <w:p w14:paraId="0B563ADC">
            <w:pPr>
              <w:pStyle w:val="37"/>
              <w:spacing w:before="46" w:line="195" w:lineRule="auto"/>
              <w:ind w:left="626"/>
              <w:rPr>
                <w:rFonts w:hint="eastAsia" w:ascii="宋体" w:hAnsi="宋体" w:eastAsia="宋体" w:cs="宋体"/>
                <w:sz w:val="24"/>
                <w:szCs w:val="24"/>
              </w:rPr>
            </w:pPr>
            <w:r>
              <w:rPr>
                <w:rFonts w:hint="eastAsia" w:ascii="宋体" w:hAnsi="宋体" w:eastAsia="宋体" w:cs="宋体"/>
                <w:spacing w:val="3"/>
                <w:sz w:val="24"/>
                <w:szCs w:val="24"/>
              </w:rPr>
              <w:t>地表水</w:t>
            </w:r>
          </w:p>
        </w:tc>
        <w:tc>
          <w:tcPr>
            <w:tcW w:w="2313" w:type="dxa"/>
            <w:vMerge w:val="continue"/>
            <w:tcBorders>
              <w:left w:val="single" w:color="auto" w:sz="4" w:space="0"/>
            </w:tcBorders>
            <w:vAlign w:val="top"/>
          </w:tcPr>
          <w:p w14:paraId="2A105153">
            <w:pPr>
              <w:rPr>
                <w:rFonts w:hint="eastAsia" w:ascii="宋体" w:hAnsi="宋体" w:eastAsia="宋体" w:cs="宋体"/>
                <w:sz w:val="24"/>
                <w:szCs w:val="24"/>
              </w:rPr>
            </w:pPr>
          </w:p>
        </w:tc>
      </w:tr>
      <w:tr w14:paraId="41DCE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7" w:hRule="atLeast"/>
        </w:trPr>
        <w:tc>
          <w:tcPr>
            <w:tcW w:w="1587" w:type="dxa"/>
            <w:vMerge w:val="continue"/>
            <w:tcBorders>
              <w:top w:val="nil"/>
              <w:left w:val="nil"/>
              <w:bottom w:val="nil"/>
              <w:right w:val="single" w:color="auto" w:sz="4" w:space="0"/>
            </w:tcBorders>
            <w:vAlign w:val="top"/>
          </w:tcPr>
          <w:p w14:paraId="1DCADD7D">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7E32947E">
            <w:pPr>
              <w:pStyle w:val="37"/>
              <w:spacing w:before="71" w:line="176" w:lineRule="auto"/>
              <w:ind w:left="321"/>
              <w:jc w:val="both"/>
              <w:rPr>
                <w:rFonts w:hint="eastAsia" w:ascii="宋体" w:hAnsi="宋体" w:eastAsia="宋体" w:cs="宋体"/>
                <w:sz w:val="24"/>
                <w:szCs w:val="24"/>
              </w:rPr>
            </w:pPr>
            <w:r>
              <w:rPr>
                <w:rFonts w:hint="eastAsia" w:ascii="宋体" w:hAnsi="宋体" w:eastAsia="宋体" w:cs="宋体"/>
                <w:sz w:val="24"/>
                <w:szCs w:val="24"/>
              </w:rPr>
              <w:t>2</w:t>
            </w:r>
          </w:p>
        </w:tc>
        <w:tc>
          <w:tcPr>
            <w:tcW w:w="3165" w:type="dxa"/>
            <w:tcBorders>
              <w:top w:val="single" w:color="auto" w:sz="4" w:space="0"/>
              <w:left w:val="single" w:color="auto" w:sz="4" w:space="0"/>
              <w:bottom w:val="single" w:color="auto" w:sz="4" w:space="0"/>
              <w:right w:val="single" w:color="auto" w:sz="4" w:space="0"/>
            </w:tcBorders>
            <w:vAlign w:val="top"/>
          </w:tcPr>
          <w:p w14:paraId="452D8BF5">
            <w:pPr>
              <w:pStyle w:val="37"/>
              <w:spacing w:before="47" w:line="194" w:lineRule="auto"/>
              <w:jc w:val="center"/>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双合桥站</w:t>
            </w:r>
          </w:p>
        </w:tc>
        <w:tc>
          <w:tcPr>
            <w:tcW w:w="1970" w:type="dxa"/>
            <w:tcBorders>
              <w:top w:val="single" w:color="auto" w:sz="4" w:space="0"/>
              <w:left w:val="single" w:color="auto" w:sz="4" w:space="0"/>
              <w:bottom w:val="single" w:color="auto" w:sz="4" w:space="0"/>
              <w:right w:val="single" w:color="auto" w:sz="4" w:space="0"/>
            </w:tcBorders>
            <w:vAlign w:val="top"/>
          </w:tcPr>
          <w:p w14:paraId="0FC22231">
            <w:pPr>
              <w:pStyle w:val="37"/>
              <w:spacing w:before="46" w:line="195" w:lineRule="auto"/>
              <w:ind w:left="626"/>
              <w:rPr>
                <w:rFonts w:hint="eastAsia" w:ascii="宋体" w:hAnsi="宋体" w:eastAsia="宋体" w:cs="宋体"/>
                <w:sz w:val="24"/>
                <w:szCs w:val="24"/>
              </w:rPr>
            </w:pPr>
            <w:r>
              <w:rPr>
                <w:rFonts w:hint="eastAsia" w:ascii="宋体" w:hAnsi="宋体" w:eastAsia="宋体" w:cs="宋体"/>
                <w:spacing w:val="3"/>
                <w:sz w:val="24"/>
                <w:szCs w:val="24"/>
              </w:rPr>
              <w:t>地表水</w:t>
            </w:r>
          </w:p>
        </w:tc>
        <w:tc>
          <w:tcPr>
            <w:tcW w:w="2313" w:type="dxa"/>
            <w:vMerge w:val="continue"/>
            <w:tcBorders>
              <w:left w:val="single" w:color="auto" w:sz="4" w:space="0"/>
            </w:tcBorders>
            <w:vAlign w:val="top"/>
          </w:tcPr>
          <w:p w14:paraId="10008127">
            <w:pPr>
              <w:rPr>
                <w:rFonts w:hint="eastAsia" w:ascii="宋体" w:hAnsi="宋体" w:eastAsia="宋体" w:cs="宋体"/>
                <w:sz w:val="24"/>
                <w:szCs w:val="24"/>
              </w:rPr>
            </w:pPr>
          </w:p>
        </w:tc>
      </w:tr>
      <w:tr w14:paraId="00A51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5" w:hRule="atLeast"/>
        </w:trPr>
        <w:tc>
          <w:tcPr>
            <w:tcW w:w="1587" w:type="dxa"/>
            <w:vMerge w:val="continue"/>
            <w:tcBorders>
              <w:top w:val="nil"/>
              <w:left w:val="nil"/>
              <w:bottom w:val="nil"/>
              <w:right w:val="single" w:color="auto" w:sz="4" w:space="0"/>
            </w:tcBorders>
            <w:vAlign w:val="top"/>
          </w:tcPr>
          <w:p w14:paraId="6AC10693">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313C4EF5">
            <w:pPr>
              <w:pStyle w:val="37"/>
              <w:spacing w:before="70" w:line="184" w:lineRule="auto"/>
              <w:ind w:left="321"/>
              <w:jc w:val="both"/>
              <w:rPr>
                <w:rFonts w:hint="eastAsia" w:ascii="宋体" w:hAnsi="宋体" w:eastAsia="宋体" w:cs="宋体"/>
                <w:sz w:val="24"/>
                <w:szCs w:val="24"/>
              </w:rPr>
            </w:pPr>
            <w:r>
              <w:rPr>
                <w:rFonts w:hint="eastAsia" w:ascii="宋体" w:hAnsi="宋体" w:eastAsia="宋体" w:cs="宋体"/>
                <w:sz w:val="24"/>
                <w:szCs w:val="24"/>
              </w:rPr>
              <w:t>3</w:t>
            </w:r>
          </w:p>
        </w:tc>
        <w:tc>
          <w:tcPr>
            <w:tcW w:w="3165" w:type="dxa"/>
            <w:tcBorders>
              <w:top w:val="single" w:color="auto" w:sz="4" w:space="0"/>
              <w:left w:val="single" w:color="auto" w:sz="4" w:space="0"/>
              <w:bottom w:val="single" w:color="auto" w:sz="4" w:space="0"/>
              <w:right w:val="single" w:color="auto" w:sz="4" w:space="0"/>
            </w:tcBorders>
            <w:vAlign w:val="top"/>
          </w:tcPr>
          <w:p w14:paraId="5C5CF147">
            <w:pPr>
              <w:pStyle w:val="37"/>
              <w:spacing w:before="46" w:line="203" w:lineRule="auto"/>
              <w:jc w:val="center"/>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龙山路站</w:t>
            </w:r>
          </w:p>
        </w:tc>
        <w:tc>
          <w:tcPr>
            <w:tcW w:w="1970" w:type="dxa"/>
            <w:tcBorders>
              <w:top w:val="single" w:color="auto" w:sz="4" w:space="0"/>
              <w:left w:val="single" w:color="auto" w:sz="4" w:space="0"/>
              <w:bottom w:val="single" w:color="auto" w:sz="4" w:space="0"/>
              <w:right w:val="single" w:color="auto" w:sz="4" w:space="0"/>
            </w:tcBorders>
            <w:vAlign w:val="top"/>
          </w:tcPr>
          <w:p w14:paraId="61372330">
            <w:pPr>
              <w:pStyle w:val="37"/>
              <w:spacing w:before="46" w:line="203" w:lineRule="auto"/>
              <w:ind w:left="626"/>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污水管网</w:t>
            </w:r>
          </w:p>
        </w:tc>
        <w:tc>
          <w:tcPr>
            <w:tcW w:w="2313" w:type="dxa"/>
            <w:vMerge w:val="continue"/>
            <w:tcBorders>
              <w:left w:val="single" w:color="auto" w:sz="4" w:space="0"/>
            </w:tcBorders>
            <w:vAlign w:val="top"/>
          </w:tcPr>
          <w:p w14:paraId="3B1330E3">
            <w:pPr>
              <w:rPr>
                <w:rFonts w:hint="eastAsia" w:ascii="宋体" w:hAnsi="宋体" w:eastAsia="宋体" w:cs="宋体"/>
                <w:sz w:val="24"/>
                <w:szCs w:val="24"/>
              </w:rPr>
            </w:pPr>
          </w:p>
        </w:tc>
      </w:tr>
      <w:tr w14:paraId="3918F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7" w:hRule="atLeast"/>
        </w:trPr>
        <w:tc>
          <w:tcPr>
            <w:tcW w:w="1587" w:type="dxa"/>
            <w:vMerge w:val="continue"/>
            <w:tcBorders>
              <w:top w:val="nil"/>
              <w:left w:val="nil"/>
              <w:bottom w:val="nil"/>
              <w:right w:val="single" w:color="auto" w:sz="4" w:space="0"/>
            </w:tcBorders>
            <w:vAlign w:val="top"/>
          </w:tcPr>
          <w:p w14:paraId="5F49349B">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25A8D3C2">
            <w:pPr>
              <w:pStyle w:val="37"/>
              <w:spacing w:before="71" w:line="176" w:lineRule="auto"/>
              <w:ind w:left="321"/>
              <w:jc w:val="both"/>
              <w:rPr>
                <w:rFonts w:hint="eastAsia" w:ascii="宋体" w:hAnsi="宋体" w:eastAsia="宋体" w:cs="宋体"/>
                <w:sz w:val="24"/>
                <w:szCs w:val="24"/>
              </w:rPr>
            </w:pPr>
            <w:r>
              <w:rPr>
                <w:rFonts w:hint="eastAsia" w:ascii="宋体" w:hAnsi="宋体" w:eastAsia="宋体" w:cs="宋体"/>
                <w:sz w:val="24"/>
                <w:szCs w:val="24"/>
              </w:rPr>
              <w:t>4</w:t>
            </w:r>
          </w:p>
        </w:tc>
        <w:tc>
          <w:tcPr>
            <w:tcW w:w="3165" w:type="dxa"/>
            <w:tcBorders>
              <w:top w:val="single" w:color="auto" w:sz="4" w:space="0"/>
              <w:left w:val="single" w:color="auto" w:sz="4" w:space="0"/>
              <w:bottom w:val="single" w:color="auto" w:sz="4" w:space="0"/>
              <w:right w:val="single" w:color="auto" w:sz="4" w:space="0"/>
            </w:tcBorders>
            <w:vAlign w:val="top"/>
          </w:tcPr>
          <w:p w14:paraId="7714050E">
            <w:pPr>
              <w:pStyle w:val="37"/>
              <w:spacing w:before="47" w:line="194" w:lineRule="auto"/>
              <w:jc w:val="center"/>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玉兰站</w:t>
            </w:r>
          </w:p>
        </w:tc>
        <w:tc>
          <w:tcPr>
            <w:tcW w:w="1970" w:type="dxa"/>
            <w:tcBorders>
              <w:top w:val="single" w:color="auto" w:sz="4" w:space="0"/>
              <w:left w:val="single" w:color="auto" w:sz="4" w:space="0"/>
              <w:bottom w:val="single" w:color="auto" w:sz="4" w:space="0"/>
              <w:right w:val="single" w:color="auto" w:sz="4" w:space="0"/>
            </w:tcBorders>
            <w:vAlign w:val="top"/>
          </w:tcPr>
          <w:p w14:paraId="341FD9CB">
            <w:pPr>
              <w:spacing w:before="46" w:line="195" w:lineRule="auto"/>
              <w:ind w:left="626"/>
              <w:rPr>
                <w:rFonts w:hint="eastAsia" w:ascii="宋体" w:hAnsi="宋体" w:eastAsia="宋体" w:cs="宋体"/>
                <w:sz w:val="24"/>
                <w:szCs w:val="24"/>
              </w:rPr>
            </w:pPr>
            <w:r>
              <w:rPr>
                <w:rFonts w:hint="eastAsia" w:ascii="宋体" w:hAnsi="宋体" w:eastAsia="宋体" w:cs="宋体"/>
                <w:spacing w:val="3"/>
                <w:sz w:val="24"/>
                <w:szCs w:val="24"/>
                <w:lang w:eastAsia="zh-CN"/>
              </w:rPr>
              <w:t>污水管网</w:t>
            </w:r>
          </w:p>
        </w:tc>
        <w:tc>
          <w:tcPr>
            <w:tcW w:w="2313" w:type="dxa"/>
            <w:vMerge w:val="continue"/>
            <w:tcBorders>
              <w:left w:val="single" w:color="auto" w:sz="4" w:space="0"/>
            </w:tcBorders>
            <w:vAlign w:val="top"/>
          </w:tcPr>
          <w:p w14:paraId="447541C5">
            <w:pPr>
              <w:rPr>
                <w:rFonts w:hint="eastAsia" w:ascii="宋体" w:hAnsi="宋体" w:eastAsia="宋体" w:cs="宋体"/>
                <w:sz w:val="24"/>
                <w:szCs w:val="24"/>
              </w:rPr>
            </w:pPr>
          </w:p>
        </w:tc>
      </w:tr>
      <w:tr w14:paraId="6A7D7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9" w:hRule="atLeast"/>
        </w:trPr>
        <w:tc>
          <w:tcPr>
            <w:tcW w:w="1587" w:type="dxa"/>
            <w:vMerge w:val="continue"/>
            <w:tcBorders>
              <w:top w:val="nil"/>
              <w:left w:val="nil"/>
              <w:bottom w:val="nil"/>
              <w:right w:val="single" w:color="auto" w:sz="4" w:space="0"/>
            </w:tcBorders>
            <w:vAlign w:val="top"/>
          </w:tcPr>
          <w:p w14:paraId="4609D9AE">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52A4CD59">
            <w:pPr>
              <w:pStyle w:val="37"/>
              <w:spacing w:before="61" w:line="176" w:lineRule="auto"/>
              <w:ind w:left="321"/>
              <w:jc w:val="both"/>
              <w:rPr>
                <w:rFonts w:hint="eastAsia" w:ascii="宋体" w:hAnsi="宋体" w:eastAsia="宋体" w:cs="宋体"/>
                <w:sz w:val="24"/>
                <w:szCs w:val="24"/>
              </w:rPr>
            </w:pPr>
            <w:r>
              <w:rPr>
                <w:rFonts w:hint="eastAsia" w:ascii="宋体" w:hAnsi="宋体" w:eastAsia="宋体" w:cs="宋体"/>
                <w:sz w:val="24"/>
                <w:szCs w:val="24"/>
              </w:rPr>
              <w:t>5</w:t>
            </w:r>
          </w:p>
        </w:tc>
        <w:tc>
          <w:tcPr>
            <w:tcW w:w="3165" w:type="dxa"/>
            <w:tcBorders>
              <w:top w:val="single" w:color="auto" w:sz="4" w:space="0"/>
              <w:left w:val="single" w:color="auto" w:sz="4" w:space="0"/>
              <w:bottom w:val="single" w:color="auto" w:sz="4" w:space="0"/>
              <w:right w:val="single" w:color="auto" w:sz="4" w:space="0"/>
            </w:tcBorders>
            <w:vAlign w:val="top"/>
          </w:tcPr>
          <w:p w14:paraId="5A908637">
            <w:pPr>
              <w:pStyle w:val="37"/>
              <w:spacing w:before="39" w:line="193" w:lineRule="auto"/>
              <w:jc w:val="center"/>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国槐站</w:t>
            </w:r>
          </w:p>
        </w:tc>
        <w:tc>
          <w:tcPr>
            <w:tcW w:w="1970" w:type="dxa"/>
            <w:tcBorders>
              <w:top w:val="single" w:color="auto" w:sz="4" w:space="0"/>
              <w:left w:val="single" w:color="auto" w:sz="4" w:space="0"/>
              <w:bottom w:val="single" w:color="auto" w:sz="4" w:space="0"/>
              <w:right w:val="single" w:color="auto" w:sz="4" w:space="0"/>
            </w:tcBorders>
            <w:vAlign w:val="top"/>
          </w:tcPr>
          <w:p w14:paraId="19FD3CFB">
            <w:pPr>
              <w:spacing w:before="36" w:line="195" w:lineRule="auto"/>
              <w:ind w:left="626"/>
              <w:rPr>
                <w:rFonts w:hint="eastAsia" w:ascii="宋体" w:hAnsi="宋体" w:eastAsia="宋体" w:cs="宋体"/>
                <w:sz w:val="24"/>
                <w:szCs w:val="24"/>
              </w:rPr>
            </w:pPr>
            <w:r>
              <w:rPr>
                <w:rFonts w:hint="eastAsia" w:ascii="宋体" w:hAnsi="宋体" w:eastAsia="宋体" w:cs="宋体"/>
                <w:spacing w:val="3"/>
                <w:sz w:val="24"/>
                <w:szCs w:val="24"/>
                <w:lang w:eastAsia="zh-CN"/>
              </w:rPr>
              <w:t>污水管网</w:t>
            </w:r>
          </w:p>
        </w:tc>
        <w:tc>
          <w:tcPr>
            <w:tcW w:w="2313" w:type="dxa"/>
            <w:vMerge w:val="continue"/>
            <w:tcBorders>
              <w:left w:val="single" w:color="auto" w:sz="4" w:space="0"/>
            </w:tcBorders>
            <w:vAlign w:val="top"/>
          </w:tcPr>
          <w:p w14:paraId="16192FD4">
            <w:pPr>
              <w:rPr>
                <w:rFonts w:hint="eastAsia" w:ascii="宋体" w:hAnsi="宋体" w:eastAsia="宋体" w:cs="宋体"/>
                <w:sz w:val="24"/>
                <w:szCs w:val="24"/>
              </w:rPr>
            </w:pPr>
          </w:p>
        </w:tc>
      </w:tr>
      <w:tr w14:paraId="56D73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8" w:hRule="atLeast"/>
        </w:trPr>
        <w:tc>
          <w:tcPr>
            <w:tcW w:w="1587" w:type="dxa"/>
            <w:vMerge w:val="continue"/>
            <w:tcBorders>
              <w:top w:val="nil"/>
              <w:left w:val="nil"/>
              <w:bottom w:val="nil"/>
              <w:right w:val="single" w:color="auto" w:sz="4" w:space="0"/>
            </w:tcBorders>
            <w:vAlign w:val="top"/>
          </w:tcPr>
          <w:p w14:paraId="3892BAD8">
            <w:pPr>
              <w:rPr>
                <w:rFonts w:hint="eastAsia" w:ascii="宋体" w:hAnsi="宋体" w:eastAsia="宋体" w:cs="宋体"/>
                <w:sz w:val="24"/>
                <w:szCs w:val="24"/>
              </w:rPr>
            </w:pPr>
          </w:p>
        </w:tc>
        <w:tc>
          <w:tcPr>
            <w:tcW w:w="786" w:type="dxa"/>
            <w:tcBorders>
              <w:top w:val="single" w:color="auto" w:sz="4" w:space="0"/>
              <w:left w:val="single" w:color="auto" w:sz="4" w:space="0"/>
              <w:bottom w:val="single" w:color="auto" w:sz="4" w:space="0"/>
              <w:right w:val="single" w:color="auto" w:sz="4" w:space="0"/>
            </w:tcBorders>
            <w:vAlign w:val="top"/>
          </w:tcPr>
          <w:p w14:paraId="2754CDB1">
            <w:pPr>
              <w:pStyle w:val="37"/>
              <w:spacing w:before="71" w:line="176" w:lineRule="auto"/>
              <w:ind w:left="321"/>
              <w:jc w:val="both"/>
              <w:rPr>
                <w:rFonts w:hint="eastAsia" w:ascii="宋体" w:hAnsi="宋体" w:eastAsia="宋体" w:cs="宋体"/>
                <w:sz w:val="24"/>
                <w:szCs w:val="24"/>
              </w:rPr>
            </w:pPr>
            <w:r>
              <w:rPr>
                <w:rFonts w:hint="eastAsia" w:ascii="宋体" w:hAnsi="宋体" w:eastAsia="宋体" w:cs="宋体"/>
                <w:sz w:val="24"/>
                <w:szCs w:val="24"/>
              </w:rPr>
              <w:t>6</w:t>
            </w:r>
          </w:p>
        </w:tc>
        <w:tc>
          <w:tcPr>
            <w:tcW w:w="3165" w:type="dxa"/>
            <w:tcBorders>
              <w:top w:val="single" w:color="auto" w:sz="4" w:space="0"/>
              <w:left w:val="single" w:color="auto" w:sz="4" w:space="0"/>
              <w:bottom w:val="single" w:color="auto" w:sz="4" w:space="0"/>
              <w:right w:val="single" w:color="auto" w:sz="4" w:space="0"/>
            </w:tcBorders>
            <w:vAlign w:val="top"/>
          </w:tcPr>
          <w:p w14:paraId="34AEE5DD">
            <w:pPr>
              <w:pStyle w:val="37"/>
              <w:spacing w:before="46" w:line="195" w:lineRule="auto"/>
              <w:jc w:val="center"/>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广华桥站</w:t>
            </w:r>
          </w:p>
        </w:tc>
        <w:tc>
          <w:tcPr>
            <w:tcW w:w="1970" w:type="dxa"/>
            <w:tcBorders>
              <w:top w:val="single" w:color="auto" w:sz="4" w:space="0"/>
              <w:left w:val="single" w:color="auto" w:sz="4" w:space="0"/>
              <w:bottom w:val="single" w:color="auto" w:sz="4" w:space="0"/>
              <w:right w:val="single" w:color="auto" w:sz="4" w:space="0"/>
            </w:tcBorders>
            <w:vAlign w:val="top"/>
          </w:tcPr>
          <w:p w14:paraId="180A4077">
            <w:pPr>
              <w:spacing w:before="46" w:line="195" w:lineRule="auto"/>
              <w:ind w:left="626"/>
              <w:rPr>
                <w:rFonts w:hint="eastAsia" w:ascii="宋体" w:hAnsi="宋体" w:eastAsia="宋体" w:cs="宋体"/>
                <w:sz w:val="24"/>
                <w:szCs w:val="24"/>
              </w:rPr>
            </w:pPr>
            <w:r>
              <w:rPr>
                <w:rFonts w:hint="eastAsia" w:ascii="宋体" w:hAnsi="宋体" w:eastAsia="宋体" w:cs="宋体"/>
                <w:spacing w:val="3"/>
                <w:sz w:val="24"/>
                <w:szCs w:val="24"/>
                <w:lang w:eastAsia="zh-CN"/>
              </w:rPr>
              <w:t>污水管网</w:t>
            </w:r>
          </w:p>
        </w:tc>
        <w:tc>
          <w:tcPr>
            <w:tcW w:w="2313" w:type="dxa"/>
            <w:vMerge w:val="continue"/>
            <w:tcBorders>
              <w:left w:val="single" w:color="auto" w:sz="4" w:space="0"/>
            </w:tcBorders>
            <w:vAlign w:val="top"/>
          </w:tcPr>
          <w:p w14:paraId="02EC0A20">
            <w:pPr>
              <w:rPr>
                <w:rFonts w:hint="eastAsia" w:ascii="宋体" w:hAnsi="宋体" w:eastAsia="宋体" w:cs="宋体"/>
                <w:sz w:val="24"/>
                <w:szCs w:val="24"/>
              </w:rPr>
            </w:pPr>
          </w:p>
        </w:tc>
      </w:tr>
    </w:tbl>
    <w:p w14:paraId="3E07A9FF">
      <w:pPr>
        <w:pStyle w:val="37"/>
        <w:spacing w:before="78" w:line="219" w:lineRule="auto"/>
        <w:ind w:left="684"/>
        <w:rPr>
          <w:rFonts w:hint="eastAsia" w:ascii="宋体" w:hAnsi="宋体" w:eastAsia="宋体" w:cs="宋体"/>
          <w:sz w:val="24"/>
          <w:szCs w:val="24"/>
        </w:rPr>
      </w:pPr>
      <w:r>
        <w:rPr>
          <w:rFonts w:hint="eastAsia" w:ascii="宋体" w:hAnsi="宋体" w:eastAsia="宋体" w:cs="宋体"/>
          <w:spacing w:val="36"/>
          <w:sz w:val="24"/>
          <w:szCs w:val="24"/>
        </w:rPr>
        <w:t>(二)合同履行期限：</w:t>
      </w:r>
      <w:r>
        <w:rPr>
          <w:rFonts w:hint="eastAsia" w:ascii="宋体" w:hAnsi="宋体" w:eastAsia="宋体" w:cs="宋体"/>
          <w:spacing w:val="36"/>
          <w:sz w:val="24"/>
          <w:szCs w:val="24"/>
          <w:lang w:val="en-US" w:eastAsia="zh-CN"/>
        </w:rPr>
        <w:t xml:space="preserve">   </w:t>
      </w:r>
      <w:r>
        <w:rPr>
          <w:rFonts w:hint="eastAsia" w:ascii="宋体" w:hAnsi="宋体" w:eastAsia="宋体" w:cs="宋体"/>
          <w:spacing w:val="36"/>
          <w:sz w:val="24"/>
          <w:szCs w:val="24"/>
        </w:rPr>
        <w:t>年</w:t>
      </w:r>
      <w:r>
        <w:rPr>
          <w:rFonts w:hint="eastAsia" w:ascii="宋体" w:hAnsi="宋体" w:eastAsia="宋体" w:cs="宋体"/>
          <w:spacing w:val="36"/>
          <w:sz w:val="24"/>
          <w:szCs w:val="24"/>
          <w:lang w:val="en-US" w:eastAsia="zh-CN"/>
        </w:rPr>
        <w:t xml:space="preserve">  </w:t>
      </w:r>
      <w:r>
        <w:rPr>
          <w:rFonts w:hint="eastAsia" w:ascii="宋体" w:hAnsi="宋体" w:eastAsia="宋体" w:cs="宋体"/>
          <w:spacing w:val="36"/>
          <w:sz w:val="24"/>
          <w:szCs w:val="24"/>
        </w:rPr>
        <w:t>月</w:t>
      </w:r>
      <w:r>
        <w:rPr>
          <w:rFonts w:hint="eastAsia" w:ascii="宋体" w:hAnsi="宋体" w:eastAsia="宋体" w:cs="宋体"/>
          <w:spacing w:val="36"/>
          <w:sz w:val="24"/>
          <w:szCs w:val="24"/>
          <w:lang w:val="en-US" w:eastAsia="zh-CN"/>
        </w:rPr>
        <w:t xml:space="preserve">  </w:t>
      </w:r>
      <w:r>
        <w:rPr>
          <w:rFonts w:hint="eastAsia" w:ascii="宋体" w:hAnsi="宋体" w:eastAsia="宋体" w:cs="宋体"/>
          <w:spacing w:val="36"/>
          <w:sz w:val="24"/>
          <w:szCs w:val="24"/>
        </w:rPr>
        <w:t>日至</w:t>
      </w:r>
      <w:r>
        <w:rPr>
          <w:rFonts w:hint="eastAsia" w:ascii="宋体" w:hAnsi="宋体" w:eastAsia="宋体" w:cs="宋体"/>
          <w:spacing w:val="36"/>
          <w:sz w:val="24"/>
          <w:szCs w:val="24"/>
          <w:lang w:val="en-US" w:eastAsia="zh-CN"/>
        </w:rPr>
        <w:t xml:space="preserve">   </w:t>
      </w:r>
      <w:r>
        <w:rPr>
          <w:rFonts w:hint="eastAsia" w:ascii="宋体" w:hAnsi="宋体" w:eastAsia="宋体" w:cs="宋体"/>
          <w:spacing w:val="36"/>
          <w:sz w:val="24"/>
          <w:szCs w:val="24"/>
        </w:rPr>
        <w:t>年</w:t>
      </w:r>
      <w:r>
        <w:rPr>
          <w:rFonts w:hint="eastAsia" w:ascii="宋体" w:hAnsi="宋体" w:eastAsia="宋体" w:cs="宋体"/>
          <w:spacing w:val="36"/>
          <w:sz w:val="24"/>
          <w:szCs w:val="24"/>
          <w:lang w:val="en-US" w:eastAsia="zh-CN"/>
        </w:rPr>
        <w:t xml:space="preserve">  </w:t>
      </w:r>
      <w:r>
        <w:rPr>
          <w:rFonts w:hint="eastAsia" w:ascii="宋体" w:hAnsi="宋体" w:eastAsia="宋体" w:cs="宋体"/>
          <w:spacing w:val="36"/>
          <w:sz w:val="24"/>
          <w:szCs w:val="24"/>
        </w:rPr>
        <w:t>月</w:t>
      </w:r>
      <w:r>
        <w:rPr>
          <w:rFonts w:hint="eastAsia" w:ascii="宋体" w:hAnsi="宋体" w:eastAsia="宋体" w:cs="宋体"/>
          <w:spacing w:val="36"/>
          <w:sz w:val="24"/>
          <w:szCs w:val="24"/>
          <w:lang w:val="en-US" w:eastAsia="zh-CN"/>
        </w:rPr>
        <w:t xml:space="preserve">  </w:t>
      </w:r>
      <w:r>
        <w:rPr>
          <w:rFonts w:hint="eastAsia" w:ascii="宋体" w:hAnsi="宋体" w:eastAsia="宋体" w:cs="宋体"/>
          <w:spacing w:val="36"/>
          <w:sz w:val="24"/>
          <w:szCs w:val="24"/>
        </w:rPr>
        <w:t>日</w:t>
      </w:r>
    </w:p>
    <w:p w14:paraId="6FC866F7">
      <w:pPr>
        <w:pStyle w:val="37"/>
        <w:spacing w:before="235" w:line="219" w:lineRule="auto"/>
        <w:ind w:left="684"/>
        <w:rPr>
          <w:rFonts w:hint="eastAsia" w:ascii="宋体" w:hAnsi="宋体" w:eastAsia="宋体" w:cs="宋体"/>
          <w:sz w:val="24"/>
          <w:szCs w:val="24"/>
        </w:rPr>
      </w:pPr>
      <w:r>
        <w:rPr>
          <w:rFonts w:hint="eastAsia" w:ascii="宋体" w:hAnsi="宋体" w:eastAsia="宋体" w:cs="宋体"/>
          <w:sz w:val="24"/>
          <w:szCs w:val="24"/>
        </w:rPr>
        <w:t>(三)服务进度：按甲方要求进行</w:t>
      </w:r>
    </w:p>
    <w:p w14:paraId="090956B7">
      <w:pPr>
        <w:pStyle w:val="37"/>
        <w:spacing w:before="195" w:line="219" w:lineRule="auto"/>
        <w:ind w:left="684"/>
        <w:rPr>
          <w:rFonts w:hint="eastAsia" w:ascii="宋体" w:hAnsi="宋体" w:eastAsia="宋体" w:cs="宋体"/>
          <w:sz w:val="24"/>
          <w:szCs w:val="24"/>
          <w:lang w:eastAsia="zh-CN"/>
        </w:rPr>
      </w:pPr>
      <w:r>
        <w:rPr>
          <w:rFonts w:hint="eastAsia" w:ascii="宋体" w:hAnsi="宋体" w:eastAsia="宋体" w:cs="宋体"/>
          <w:spacing w:val="-1"/>
          <w:sz w:val="24"/>
          <w:szCs w:val="24"/>
        </w:rPr>
        <w:t>(四)服务质量要求：</w:t>
      </w:r>
      <w:r>
        <w:rPr>
          <w:rFonts w:hint="eastAsia" w:ascii="宋体" w:hAnsi="宋体" w:eastAsia="宋体" w:cs="宋体"/>
          <w:spacing w:val="-1"/>
          <w:sz w:val="24"/>
          <w:szCs w:val="24"/>
          <w:u w:val="single" w:color="auto"/>
        </w:rPr>
        <w:t>通过甲方</w:t>
      </w:r>
      <w:r>
        <w:rPr>
          <w:rFonts w:hint="eastAsia" w:ascii="宋体" w:hAnsi="宋体" w:eastAsia="宋体" w:cs="宋体"/>
          <w:spacing w:val="-1"/>
          <w:sz w:val="24"/>
          <w:szCs w:val="24"/>
          <w:u w:val="single" w:color="auto"/>
          <w:lang w:eastAsia="zh-CN"/>
        </w:rPr>
        <w:t>季度考核</w:t>
      </w:r>
    </w:p>
    <w:p w14:paraId="5BA10974">
      <w:pPr>
        <w:pStyle w:val="37"/>
        <w:spacing w:before="196" w:line="219" w:lineRule="auto"/>
        <w:ind w:left="555"/>
        <w:rPr>
          <w:rFonts w:hint="eastAsia" w:ascii="宋体" w:hAnsi="宋体" w:eastAsia="宋体" w:cs="宋体"/>
          <w:sz w:val="24"/>
          <w:szCs w:val="24"/>
          <w:lang w:val="en-US" w:eastAsia="zh-CN"/>
        </w:rPr>
      </w:pPr>
      <w:r>
        <w:rPr>
          <w:rFonts w:hint="eastAsia" w:ascii="宋体" w:hAnsi="宋体" w:eastAsia="宋体" w:cs="宋体"/>
          <w:spacing w:val="1"/>
          <w:sz w:val="24"/>
          <w:szCs w:val="24"/>
        </w:rPr>
        <w:t>四、</w:t>
      </w:r>
      <w:r>
        <w:rPr>
          <w:rFonts w:hint="eastAsia" w:ascii="宋体" w:hAnsi="宋体" w:eastAsia="宋体" w:cs="宋体"/>
          <w:spacing w:val="1"/>
          <w:sz w:val="24"/>
          <w:szCs w:val="24"/>
          <w:lang w:eastAsia="zh-CN"/>
        </w:rPr>
        <w:t>考核</w:t>
      </w:r>
      <w:r>
        <w:rPr>
          <w:rFonts w:hint="eastAsia" w:ascii="宋体" w:hAnsi="宋体" w:eastAsia="宋体" w:cs="宋体"/>
          <w:spacing w:val="1"/>
          <w:sz w:val="24"/>
          <w:szCs w:val="24"/>
        </w:rPr>
        <w:t>标准和方式</w:t>
      </w:r>
      <w:r>
        <w:rPr>
          <w:rFonts w:hint="eastAsia" w:ascii="宋体" w:hAnsi="宋体" w:eastAsia="宋体" w:cs="宋体"/>
          <w:spacing w:val="1"/>
          <w:sz w:val="24"/>
          <w:szCs w:val="24"/>
          <w:lang w:eastAsia="zh-CN"/>
        </w:rPr>
        <w:t>（附件</w:t>
      </w:r>
      <w:r>
        <w:rPr>
          <w:rFonts w:hint="eastAsia" w:ascii="宋体" w:hAnsi="宋体" w:eastAsia="宋体" w:cs="宋体"/>
          <w:spacing w:val="1"/>
          <w:sz w:val="24"/>
          <w:szCs w:val="24"/>
          <w:lang w:val="en-US" w:eastAsia="zh-CN"/>
        </w:rPr>
        <w:t>1）</w:t>
      </w:r>
    </w:p>
    <w:p w14:paraId="2D0C2A1A">
      <w:pPr>
        <w:pStyle w:val="37"/>
        <w:spacing w:before="175" w:line="360" w:lineRule="auto"/>
        <w:ind w:left="555"/>
        <w:rPr>
          <w:rFonts w:hint="eastAsia" w:ascii="宋体" w:hAnsi="宋体" w:eastAsia="宋体" w:cs="宋体"/>
          <w:sz w:val="24"/>
          <w:szCs w:val="24"/>
        </w:rPr>
      </w:pPr>
      <w:r>
        <w:rPr>
          <w:rFonts w:hint="eastAsia" w:ascii="宋体" w:hAnsi="宋体" w:eastAsia="宋体" w:cs="宋体"/>
          <w:sz w:val="24"/>
          <w:szCs w:val="24"/>
        </w:rPr>
        <w:t>双方确定以下列标准和方式对乙方的服务工作成果进行</w:t>
      </w:r>
      <w:r>
        <w:rPr>
          <w:rFonts w:hint="eastAsia" w:ascii="宋体" w:hAnsi="宋体" w:eastAsia="宋体" w:cs="宋体"/>
          <w:sz w:val="24"/>
          <w:szCs w:val="24"/>
          <w:lang w:eastAsia="zh-CN"/>
        </w:rPr>
        <w:t>考核</w:t>
      </w:r>
      <w:r>
        <w:rPr>
          <w:rFonts w:hint="eastAsia" w:ascii="宋体" w:hAnsi="宋体" w:eastAsia="宋体" w:cs="宋体"/>
          <w:spacing w:val="-1"/>
          <w:sz w:val="24"/>
          <w:szCs w:val="24"/>
        </w:rPr>
        <w:t>：</w:t>
      </w:r>
    </w:p>
    <w:p w14:paraId="04197250">
      <w:pPr>
        <w:pStyle w:val="37"/>
        <w:spacing w:before="176" w:line="360" w:lineRule="auto"/>
        <w:ind w:left="684"/>
        <w:rPr>
          <w:rFonts w:hint="eastAsia" w:ascii="宋体" w:hAnsi="宋体" w:eastAsia="宋体" w:cs="宋体"/>
          <w:sz w:val="24"/>
          <w:szCs w:val="24"/>
        </w:rPr>
      </w:pPr>
      <w:r>
        <w:rPr>
          <w:rFonts w:hint="eastAsia" w:ascii="宋体" w:hAnsi="宋体" w:eastAsia="宋体" w:cs="宋体"/>
          <w:spacing w:val="-2"/>
          <w:sz w:val="24"/>
          <w:szCs w:val="24"/>
        </w:rPr>
        <w:t>(一)乙方完成服务工作的形式：</w:t>
      </w:r>
      <w:r>
        <w:rPr>
          <w:rFonts w:hint="eastAsia" w:ascii="宋体" w:hAnsi="宋体" w:eastAsia="宋体" w:cs="宋体"/>
          <w:spacing w:val="-2"/>
          <w:sz w:val="24"/>
          <w:szCs w:val="24"/>
          <w:u w:val="single" w:color="auto"/>
        </w:rPr>
        <w:t>完成全部工作内容，提交</w:t>
      </w:r>
      <w:r>
        <w:rPr>
          <w:rFonts w:hint="eastAsia" w:ascii="宋体" w:hAnsi="宋体" w:eastAsia="宋体" w:cs="宋体"/>
          <w:spacing w:val="-3"/>
          <w:sz w:val="24"/>
          <w:szCs w:val="24"/>
          <w:u w:val="single" w:color="auto"/>
        </w:rPr>
        <w:t>成果。</w:t>
      </w:r>
      <w:r>
        <w:rPr>
          <w:rFonts w:hint="eastAsia" w:ascii="宋体" w:hAnsi="宋体" w:eastAsia="宋体" w:cs="宋体"/>
          <w:sz w:val="24"/>
          <w:szCs w:val="24"/>
          <w:u w:val="single" w:color="auto"/>
        </w:rPr>
        <w:t xml:space="preserve"> </w:t>
      </w:r>
    </w:p>
    <w:p w14:paraId="04843EAA">
      <w:pPr>
        <w:pStyle w:val="37"/>
        <w:spacing w:before="185" w:line="360" w:lineRule="auto"/>
        <w:ind w:left="684"/>
        <w:rPr>
          <w:rFonts w:hint="eastAsia" w:ascii="宋体" w:hAnsi="宋体" w:eastAsia="宋体" w:cs="宋体"/>
          <w:sz w:val="24"/>
          <w:szCs w:val="24"/>
        </w:rPr>
      </w:pPr>
      <w:r>
        <w:rPr>
          <w:rFonts w:hint="eastAsia" w:ascii="宋体" w:hAnsi="宋体" w:eastAsia="宋体" w:cs="宋体"/>
          <w:spacing w:val="-4"/>
          <w:sz w:val="24"/>
          <w:szCs w:val="24"/>
        </w:rPr>
        <w:t>(二)服务工作成果的</w:t>
      </w:r>
      <w:r>
        <w:rPr>
          <w:rFonts w:hint="eastAsia" w:ascii="宋体" w:hAnsi="宋体" w:eastAsia="宋体" w:cs="宋体"/>
          <w:spacing w:val="-4"/>
          <w:sz w:val="24"/>
          <w:szCs w:val="24"/>
          <w:lang w:eastAsia="zh-CN"/>
        </w:rPr>
        <w:t>考核</w:t>
      </w:r>
      <w:r>
        <w:rPr>
          <w:rFonts w:hint="eastAsia" w:ascii="宋体" w:hAnsi="宋体" w:eastAsia="宋体" w:cs="宋体"/>
          <w:spacing w:val="-4"/>
          <w:sz w:val="24"/>
          <w:szCs w:val="24"/>
        </w:rPr>
        <w:t>标准：</w:t>
      </w:r>
      <w:r>
        <w:rPr>
          <w:rFonts w:hint="eastAsia" w:ascii="宋体" w:hAnsi="宋体" w:eastAsia="宋体" w:cs="宋体"/>
          <w:spacing w:val="-4"/>
          <w:sz w:val="24"/>
          <w:szCs w:val="24"/>
          <w:u w:val="single" w:color="auto"/>
        </w:rPr>
        <w:t>通过甲方</w:t>
      </w:r>
      <w:r>
        <w:rPr>
          <w:rFonts w:hint="eastAsia" w:ascii="宋体" w:hAnsi="宋体" w:eastAsia="宋体" w:cs="宋体"/>
          <w:spacing w:val="-4"/>
          <w:sz w:val="24"/>
          <w:szCs w:val="24"/>
          <w:u w:val="single" w:color="auto"/>
          <w:lang w:eastAsia="zh-CN"/>
        </w:rPr>
        <w:t>考核</w:t>
      </w:r>
      <w:r>
        <w:rPr>
          <w:rFonts w:hint="eastAsia" w:ascii="宋体" w:hAnsi="宋体" w:eastAsia="宋体" w:cs="宋体"/>
          <w:spacing w:val="-4"/>
          <w:sz w:val="24"/>
          <w:szCs w:val="24"/>
          <w:u w:val="single" w:color="auto"/>
        </w:rPr>
        <w:t>。</w:t>
      </w:r>
      <w:r>
        <w:rPr>
          <w:rFonts w:hint="eastAsia" w:ascii="宋体" w:hAnsi="宋体" w:eastAsia="宋体" w:cs="宋体"/>
          <w:spacing w:val="6"/>
          <w:sz w:val="24"/>
          <w:szCs w:val="24"/>
          <w:u w:val="single" w:color="auto"/>
        </w:rPr>
        <w:t xml:space="preserve"> </w:t>
      </w:r>
    </w:p>
    <w:p w14:paraId="1DA4DFA2">
      <w:pPr>
        <w:pStyle w:val="37"/>
        <w:spacing w:before="175" w:line="360" w:lineRule="auto"/>
        <w:ind w:left="684"/>
        <w:rPr>
          <w:rFonts w:hint="eastAsia" w:ascii="宋体" w:hAnsi="宋体" w:eastAsia="宋体" w:cs="宋体"/>
          <w:sz w:val="24"/>
          <w:szCs w:val="24"/>
        </w:rPr>
      </w:pPr>
      <w:r>
        <w:rPr>
          <w:rFonts w:hint="eastAsia" w:ascii="宋体" w:hAnsi="宋体" w:eastAsia="宋体" w:cs="宋体"/>
          <w:sz w:val="24"/>
          <w:szCs w:val="24"/>
        </w:rPr>
        <w:t>(三)服务工作成果的</w:t>
      </w:r>
      <w:r>
        <w:rPr>
          <w:rFonts w:hint="eastAsia" w:ascii="宋体" w:hAnsi="宋体" w:eastAsia="宋体" w:cs="宋体"/>
          <w:sz w:val="24"/>
          <w:szCs w:val="24"/>
          <w:lang w:eastAsia="zh-CN"/>
        </w:rPr>
        <w:t>考核</w:t>
      </w:r>
      <w:r>
        <w:rPr>
          <w:rFonts w:hint="eastAsia" w:ascii="宋体" w:hAnsi="宋体" w:eastAsia="宋体" w:cs="宋体"/>
          <w:sz w:val="24"/>
          <w:szCs w:val="24"/>
        </w:rPr>
        <w:t>方法：由甲方在乙方出具的项目</w:t>
      </w:r>
      <w:r>
        <w:rPr>
          <w:rFonts w:hint="eastAsia" w:ascii="宋体" w:hAnsi="宋体" w:eastAsia="宋体" w:cs="宋体"/>
          <w:sz w:val="24"/>
          <w:szCs w:val="24"/>
          <w:lang w:eastAsia="zh-CN"/>
        </w:rPr>
        <w:t>考核</w:t>
      </w:r>
      <w:r>
        <w:rPr>
          <w:rFonts w:hint="eastAsia" w:ascii="宋体" w:hAnsi="宋体" w:eastAsia="宋体" w:cs="宋体"/>
          <w:sz w:val="24"/>
          <w:szCs w:val="24"/>
        </w:rPr>
        <w:t>单上确认</w:t>
      </w:r>
    </w:p>
    <w:p w14:paraId="17480EC5">
      <w:pPr>
        <w:pStyle w:val="37"/>
        <w:spacing w:before="166" w:line="360" w:lineRule="auto"/>
        <w:ind w:left="684"/>
        <w:rPr>
          <w:rFonts w:hint="eastAsia" w:ascii="宋体" w:hAnsi="宋体" w:eastAsia="宋体" w:cs="宋体"/>
          <w:sz w:val="24"/>
          <w:szCs w:val="24"/>
        </w:rPr>
      </w:pPr>
      <w:r>
        <w:rPr>
          <w:rFonts w:hint="eastAsia" w:ascii="宋体" w:hAnsi="宋体" w:eastAsia="宋体" w:cs="宋体"/>
          <w:spacing w:val="-5"/>
          <w:sz w:val="24"/>
          <w:szCs w:val="24"/>
        </w:rPr>
        <w:t>(四)</w:t>
      </w:r>
      <w:r>
        <w:rPr>
          <w:rFonts w:hint="eastAsia" w:ascii="宋体" w:hAnsi="宋体" w:eastAsia="宋体" w:cs="宋体"/>
          <w:spacing w:val="-5"/>
          <w:sz w:val="24"/>
          <w:szCs w:val="24"/>
          <w:lang w:eastAsia="zh-CN"/>
        </w:rPr>
        <w:t>考核</w:t>
      </w:r>
      <w:r>
        <w:rPr>
          <w:rFonts w:hint="eastAsia" w:ascii="宋体" w:hAnsi="宋体" w:eastAsia="宋体" w:cs="宋体"/>
          <w:spacing w:val="-5"/>
          <w:sz w:val="24"/>
          <w:szCs w:val="24"/>
        </w:rPr>
        <w:t>时间和地点</w:t>
      </w:r>
      <w:r>
        <w:rPr>
          <w:rFonts w:hint="eastAsia" w:ascii="宋体" w:hAnsi="宋体" w:eastAsia="宋体" w:cs="宋体"/>
          <w:spacing w:val="-5"/>
          <w:sz w:val="24"/>
          <w:szCs w:val="24"/>
          <w:u w:val="single" w:color="auto"/>
        </w:rPr>
        <w:t>：由甲方确定。</w:t>
      </w:r>
      <w:r>
        <w:rPr>
          <w:rFonts w:hint="eastAsia" w:ascii="宋体" w:hAnsi="宋体" w:eastAsia="宋体" w:cs="宋体"/>
          <w:spacing w:val="3"/>
          <w:sz w:val="24"/>
          <w:szCs w:val="24"/>
          <w:u w:val="single" w:color="auto"/>
        </w:rPr>
        <w:t xml:space="preserve"> </w:t>
      </w:r>
    </w:p>
    <w:p w14:paraId="47AC5D22">
      <w:pPr>
        <w:pStyle w:val="37"/>
        <w:spacing w:before="205" w:line="360" w:lineRule="auto"/>
        <w:ind w:left="684"/>
        <w:rPr>
          <w:rFonts w:hint="eastAsia" w:ascii="宋体" w:hAnsi="宋体" w:eastAsia="宋体" w:cs="宋体"/>
          <w:sz w:val="24"/>
          <w:szCs w:val="24"/>
        </w:rPr>
      </w:pPr>
      <w:r>
        <w:rPr>
          <w:rFonts w:hint="eastAsia" w:ascii="宋体" w:hAnsi="宋体" w:eastAsia="宋体" w:cs="宋体"/>
          <w:sz w:val="24"/>
          <w:szCs w:val="24"/>
        </w:rPr>
        <w:t>五、报酬及其支付方式</w:t>
      </w:r>
    </w:p>
    <w:p w14:paraId="564C1624">
      <w:pPr>
        <w:pStyle w:val="37"/>
        <w:spacing w:before="174" w:line="360" w:lineRule="auto"/>
        <w:ind w:left="794" w:leftChars="372" w:right="874" w:hanging="13" w:hangingChars="6"/>
        <w:rPr>
          <w:rFonts w:hint="eastAsia" w:ascii="宋体" w:hAnsi="宋体" w:eastAsia="宋体" w:cs="宋体"/>
          <w:sz w:val="24"/>
          <w:szCs w:val="24"/>
        </w:rPr>
      </w:pPr>
      <w:r>
        <w:rPr>
          <w:rFonts w:hint="eastAsia" w:ascii="宋体" w:hAnsi="宋体" w:eastAsia="宋体" w:cs="宋体"/>
          <w:spacing w:val="-8"/>
          <w:sz w:val="24"/>
          <w:szCs w:val="24"/>
        </w:rPr>
        <w:t>(一)服务费含税总额为人民币大写：</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lang w:val="en-US" w:eastAsia="zh-CN"/>
        </w:rPr>
        <w:t xml:space="preserve">                                  </w:t>
      </w:r>
      <w:r>
        <w:rPr>
          <w:rFonts w:hint="eastAsia" w:ascii="宋体" w:hAnsi="宋体" w:eastAsia="宋体" w:cs="宋体"/>
          <w:spacing w:val="-8"/>
          <w:sz w:val="24"/>
          <w:szCs w:val="24"/>
        </w:rPr>
        <w:t>(</w:t>
      </w:r>
      <w:r>
        <w:rPr>
          <w:rFonts w:hint="eastAsia" w:ascii="宋体" w:hAnsi="宋体" w:eastAsia="宋体" w:cs="宋体"/>
          <w:spacing w:val="-18"/>
          <w:sz w:val="24"/>
          <w:szCs w:val="24"/>
        </w:rPr>
        <w:t xml:space="preserve"> </w:t>
      </w:r>
      <w:r>
        <w:rPr>
          <w:rFonts w:hint="eastAsia" w:ascii="宋体" w:hAnsi="宋体" w:eastAsia="宋体" w:cs="宋体"/>
          <w:spacing w:val="-8"/>
          <w:sz w:val="24"/>
          <w:szCs w:val="24"/>
        </w:rPr>
        <w:t>小</w:t>
      </w:r>
      <w:r>
        <w:rPr>
          <w:rFonts w:hint="eastAsia" w:ascii="宋体" w:hAnsi="宋体" w:eastAsia="宋体" w:cs="宋体"/>
          <w:spacing w:val="-32"/>
          <w:sz w:val="24"/>
          <w:szCs w:val="24"/>
        </w:rPr>
        <w:t xml:space="preserve"> </w:t>
      </w:r>
      <w:r>
        <w:rPr>
          <w:rFonts w:hint="eastAsia" w:ascii="宋体" w:hAnsi="宋体" w:eastAsia="宋体" w:cs="宋体"/>
          <w:spacing w:val="-8"/>
          <w:sz w:val="24"/>
          <w:szCs w:val="24"/>
        </w:rPr>
        <w:t>写</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w:t>
      </w:r>
      <w:r>
        <w:rPr>
          <w:rFonts w:hint="eastAsia" w:ascii="宋体" w:hAnsi="宋体" w:eastAsia="宋体" w:cs="宋体"/>
          <w:sz w:val="24"/>
          <w:szCs w:val="24"/>
        </w:rPr>
        <w:t xml:space="preserve"> </w:t>
      </w:r>
      <w:r>
        <w:rPr>
          <w:rFonts w:hint="eastAsia" w:ascii="宋体" w:hAnsi="宋体" w:eastAsia="宋体" w:cs="宋体"/>
          <w:spacing w:val="6"/>
          <w:sz w:val="24"/>
          <w:szCs w:val="24"/>
          <w:u w:val="single" w:color="auto"/>
        </w:rPr>
        <w:t>¥</w:t>
      </w:r>
      <w:r>
        <w:rPr>
          <w:rFonts w:hint="eastAsia" w:ascii="宋体" w:hAnsi="宋体" w:eastAsia="宋体" w:cs="宋体"/>
          <w:spacing w:val="6"/>
          <w:sz w:val="24"/>
          <w:szCs w:val="24"/>
          <w:u w:val="single" w:color="auto"/>
          <w:lang w:val="en-US" w:eastAsia="zh-CN"/>
        </w:rPr>
        <w:t xml:space="preserve">               </w:t>
      </w:r>
      <w:r>
        <w:rPr>
          <w:rFonts w:hint="eastAsia" w:ascii="宋体" w:hAnsi="宋体" w:eastAsia="宋体" w:cs="宋体"/>
          <w:spacing w:val="6"/>
          <w:sz w:val="24"/>
          <w:szCs w:val="24"/>
          <w:u w:val="single" w:color="auto"/>
        </w:rPr>
        <w:t>元</w:t>
      </w:r>
      <w:r>
        <w:rPr>
          <w:rFonts w:hint="eastAsia" w:ascii="宋体" w:hAnsi="宋体" w:eastAsia="宋体" w:cs="宋体"/>
          <w:spacing w:val="6"/>
          <w:sz w:val="24"/>
          <w:szCs w:val="24"/>
        </w:rPr>
        <w:t>);</w:t>
      </w:r>
    </w:p>
    <w:p w14:paraId="7131B43E">
      <w:pPr>
        <w:pStyle w:val="37"/>
        <w:spacing w:before="182" w:line="360" w:lineRule="auto"/>
        <w:ind w:left="684"/>
        <w:rPr>
          <w:rFonts w:hint="eastAsia" w:ascii="宋体" w:hAnsi="宋体" w:eastAsia="宋体" w:cs="宋体"/>
          <w:sz w:val="24"/>
          <w:szCs w:val="24"/>
        </w:rPr>
      </w:pPr>
      <w:r>
        <w:rPr>
          <w:rFonts w:hint="eastAsia" w:ascii="宋体" w:hAnsi="宋体" w:eastAsia="宋体" w:cs="宋体"/>
          <w:spacing w:val="-1"/>
          <w:sz w:val="24"/>
          <w:szCs w:val="24"/>
        </w:rPr>
        <w:t>(二)服务费支付方式：</w:t>
      </w:r>
    </w:p>
    <w:p w14:paraId="68DB60C7">
      <w:pPr>
        <w:spacing w:line="360" w:lineRule="auto"/>
        <w:ind w:left="0" w:leftChars="0" w:firstLine="638" w:firstLineChars="266"/>
        <w:rPr>
          <w:rFonts w:hint="eastAsia" w:ascii="宋体" w:hAnsi="宋体" w:eastAsia="宋体" w:cs="宋体"/>
          <w:sz w:val="24"/>
          <w:szCs w:val="24"/>
          <w:lang w:val="en-US" w:eastAsia="zh-CN"/>
        </w:rPr>
      </w:pPr>
      <w:r>
        <w:rPr>
          <w:rFonts w:hint="eastAsia" w:ascii="宋体" w:hAnsi="宋体" w:eastAsia="宋体" w:cs="宋体"/>
          <w:sz w:val="24"/>
          <w:szCs w:val="24"/>
          <w:lang w:eastAsia="zh-CN"/>
        </w:rPr>
        <w:t>合同签定后，每</w:t>
      </w:r>
      <w:r>
        <w:rPr>
          <w:rFonts w:hint="eastAsia" w:ascii="宋体" w:hAnsi="宋体" w:eastAsia="宋体" w:cs="宋体"/>
          <w:sz w:val="24"/>
          <w:szCs w:val="24"/>
          <w:lang w:val="en-US" w:eastAsia="zh-CN"/>
        </w:rPr>
        <w:t>12个月根据考核打分情况结算费用，分三次结清。</w:t>
      </w:r>
    </w:p>
    <w:p w14:paraId="7E7CB363">
      <w:pPr>
        <w:pStyle w:val="37"/>
        <w:spacing w:before="11" w:line="360" w:lineRule="auto"/>
        <w:ind w:left="0" w:leftChars="0" w:firstLine="600" w:firstLineChars="250"/>
        <w:rPr>
          <w:rFonts w:hint="eastAsia" w:ascii="宋体" w:hAnsi="宋体" w:eastAsia="宋体" w:cs="宋体"/>
          <w:sz w:val="24"/>
          <w:szCs w:val="24"/>
        </w:rPr>
      </w:pPr>
      <w:r>
        <w:rPr>
          <w:rFonts w:hint="eastAsia" w:ascii="宋体" w:hAnsi="宋体" w:eastAsia="宋体" w:cs="宋体"/>
          <w:sz w:val="24"/>
          <w:szCs w:val="24"/>
        </w:rPr>
        <w:t>如合同费用需审计，乙方同意合同最终价款以政府相关机构审核/审计为准。</w:t>
      </w:r>
    </w:p>
    <w:p w14:paraId="1F871540">
      <w:pPr>
        <w:pStyle w:val="37"/>
        <w:spacing w:before="168" w:line="360" w:lineRule="auto"/>
        <w:ind w:left="64" w:right="79" w:firstLine="480"/>
        <w:rPr>
          <w:rFonts w:hint="eastAsia" w:ascii="宋体" w:hAnsi="宋体" w:eastAsia="宋体" w:cs="宋体"/>
          <w:spacing w:val="-1"/>
          <w:sz w:val="24"/>
          <w:szCs w:val="24"/>
        </w:rPr>
      </w:pPr>
      <w:r>
        <w:rPr>
          <w:rFonts w:hint="eastAsia" w:ascii="宋体" w:hAnsi="宋体" w:eastAsia="宋体" w:cs="宋体"/>
          <w:spacing w:val="-1"/>
          <w:sz w:val="24"/>
          <w:szCs w:val="24"/>
        </w:rPr>
        <w:t>甲方付款前10日，乙方应向甲方提供与付款金额等额合法有效的发票，</w:t>
      </w:r>
      <w:r>
        <w:rPr>
          <w:rFonts w:hint="eastAsia" w:ascii="宋体" w:hAnsi="宋体" w:eastAsia="宋体" w:cs="宋体"/>
          <w:spacing w:val="-2"/>
          <w:sz w:val="24"/>
          <w:szCs w:val="24"/>
        </w:rPr>
        <w:t>否则甲方可</w:t>
      </w:r>
      <w:r>
        <w:rPr>
          <w:rFonts w:hint="eastAsia" w:ascii="宋体" w:hAnsi="宋体" w:eastAsia="宋体" w:cs="宋体"/>
          <w:sz w:val="24"/>
          <w:szCs w:val="24"/>
        </w:rPr>
        <w:t xml:space="preserve"> 以暂停付款，直至乙方提供等额合法有效的发票，且不承担任何违约责</w:t>
      </w:r>
      <w:r>
        <w:rPr>
          <w:rFonts w:hint="eastAsia" w:ascii="宋体" w:hAnsi="宋体" w:eastAsia="宋体" w:cs="宋体"/>
          <w:spacing w:val="-1"/>
          <w:sz w:val="24"/>
          <w:szCs w:val="24"/>
        </w:rPr>
        <w:t>任。</w:t>
      </w:r>
    </w:p>
    <w:p w14:paraId="608D2E7C">
      <w:pPr>
        <w:pStyle w:val="37"/>
        <w:spacing w:before="168" w:line="371" w:lineRule="auto"/>
        <w:ind w:left="64" w:right="79" w:firstLine="480"/>
        <w:rPr>
          <w:rFonts w:hint="eastAsia" w:ascii="宋体" w:hAnsi="宋体" w:eastAsia="宋体" w:cs="宋体"/>
          <w:spacing w:val="1"/>
          <w:sz w:val="24"/>
          <w:szCs w:val="24"/>
        </w:rPr>
      </w:pPr>
      <w:r>
        <w:rPr>
          <w:rFonts w:hint="eastAsia" w:ascii="宋体" w:hAnsi="宋体" w:eastAsia="宋体" w:cs="宋体"/>
          <w:spacing w:val="-1"/>
          <w:sz w:val="24"/>
          <w:szCs w:val="24"/>
          <w:lang w:eastAsia="zh-CN"/>
        </w:rPr>
        <w:t>六、</w:t>
      </w:r>
      <w:r>
        <w:rPr>
          <w:rFonts w:hint="eastAsia" w:ascii="宋体" w:hAnsi="宋体" w:eastAsia="宋体" w:cs="宋体"/>
          <w:spacing w:val="1"/>
          <w:sz w:val="24"/>
          <w:szCs w:val="24"/>
        </w:rPr>
        <w:t>甲方权利义务</w:t>
      </w:r>
    </w:p>
    <w:p w14:paraId="3FEB7F6F">
      <w:pPr>
        <w:pStyle w:val="37"/>
        <w:numPr>
          <w:ilvl w:val="0"/>
          <w:numId w:val="0"/>
        </w:numPr>
        <w:spacing w:before="168" w:line="371" w:lineRule="auto"/>
        <w:ind w:left="544" w:leftChars="0" w:right="79" w:rightChars="0"/>
        <w:rPr>
          <w:rFonts w:hint="eastAsia" w:ascii="宋体" w:hAnsi="宋体" w:eastAsia="宋体" w:cs="宋体"/>
          <w:sz w:val="24"/>
          <w:szCs w:val="24"/>
        </w:rPr>
      </w:pPr>
      <w:r>
        <w:rPr>
          <w:rFonts w:hint="eastAsia" w:ascii="宋体" w:hAnsi="宋体" w:eastAsia="宋体" w:cs="宋体"/>
          <w:sz w:val="24"/>
          <w:szCs w:val="24"/>
        </w:rPr>
        <w:t>1.掌握委托工作进度，监督乙方完成委托工作的权利。</w:t>
      </w:r>
    </w:p>
    <w:p w14:paraId="1F7AC665">
      <w:pPr>
        <w:pStyle w:val="37"/>
        <w:spacing w:before="185" w:line="219" w:lineRule="auto"/>
        <w:ind w:left="64" w:firstLine="480" w:firstLineChars="200"/>
        <w:rPr>
          <w:rFonts w:hint="eastAsia" w:ascii="宋体" w:hAnsi="宋体" w:eastAsia="宋体" w:cs="宋体"/>
          <w:sz w:val="24"/>
          <w:szCs w:val="24"/>
        </w:rPr>
      </w:pPr>
      <w:r>
        <w:rPr>
          <w:rFonts w:hint="eastAsia" w:ascii="宋体" w:hAnsi="宋体" w:eastAsia="宋体" w:cs="宋体"/>
          <w:sz w:val="24"/>
          <w:szCs w:val="24"/>
        </w:rPr>
        <w:t>2.按照约定支付报酬的义务。</w:t>
      </w:r>
    </w:p>
    <w:p w14:paraId="1A6A1FBF">
      <w:pPr>
        <w:pStyle w:val="37"/>
        <w:spacing w:before="184" w:line="219" w:lineRule="auto"/>
        <w:ind w:left="64" w:firstLine="480" w:firstLineChars="200"/>
        <w:rPr>
          <w:rFonts w:hint="eastAsia" w:ascii="宋体" w:hAnsi="宋体" w:eastAsia="宋体" w:cs="宋体"/>
          <w:sz w:val="24"/>
          <w:szCs w:val="24"/>
        </w:rPr>
      </w:pPr>
      <w:r>
        <w:rPr>
          <w:rFonts w:hint="eastAsia" w:ascii="宋体" w:hAnsi="宋体" w:eastAsia="宋体" w:cs="宋体"/>
          <w:sz w:val="24"/>
          <w:szCs w:val="24"/>
        </w:rPr>
        <w:t>3.为乙方履行义务提供必要的协助或便利的义务。</w:t>
      </w:r>
    </w:p>
    <w:p w14:paraId="47D52603">
      <w:pPr>
        <w:pStyle w:val="37"/>
        <w:spacing w:before="187" w:line="290" w:lineRule="auto"/>
        <w:ind w:left="64" w:right="257" w:firstLine="511" w:firstLineChars="213"/>
        <w:rPr>
          <w:rFonts w:hint="eastAsia" w:ascii="宋体" w:hAnsi="宋体" w:eastAsia="宋体" w:cs="宋体"/>
          <w:sz w:val="24"/>
          <w:szCs w:val="24"/>
        </w:rPr>
      </w:pPr>
      <w:r>
        <w:rPr>
          <w:rFonts w:hint="eastAsia" w:ascii="宋体" w:hAnsi="宋体" w:eastAsia="宋体" w:cs="宋体"/>
          <w:sz w:val="24"/>
          <w:szCs w:val="24"/>
        </w:rPr>
        <w:t>4.甲方有权对乙方工作提出意见和建议，乙方应在甲方要求的</w:t>
      </w:r>
      <w:r>
        <w:rPr>
          <w:rFonts w:hint="eastAsia" w:ascii="宋体" w:hAnsi="宋体" w:eastAsia="宋体" w:cs="宋体"/>
          <w:spacing w:val="-1"/>
          <w:sz w:val="24"/>
          <w:szCs w:val="24"/>
        </w:rPr>
        <w:t>时间内按照甲方的建议</w:t>
      </w:r>
      <w:r>
        <w:rPr>
          <w:rFonts w:hint="eastAsia" w:ascii="宋体" w:hAnsi="宋体" w:eastAsia="宋体" w:cs="宋体"/>
          <w:sz w:val="24"/>
          <w:szCs w:val="24"/>
        </w:rPr>
        <w:t>和意见进行整改，甲方有权进行验收。</w:t>
      </w:r>
    </w:p>
    <w:p w14:paraId="4BBE4352">
      <w:pPr>
        <w:pStyle w:val="37"/>
        <w:spacing w:before="187" w:line="290" w:lineRule="auto"/>
        <w:ind w:left="64" w:right="257" w:firstLine="511" w:firstLineChars="213"/>
        <w:rPr>
          <w:rFonts w:hint="default" w:eastAsia="宋体"/>
          <w:sz w:val="24"/>
          <w:szCs w:val="24"/>
          <w:lang w:val="en-US" w:eastAsia="zh-CN"/>
        </w:rPr>
      </w:pPr>
      <w:r>
        <w:rPr>
          <w:rFonts w:hint="eastAsia"/>
          <w:sz w:val="24"/>
          <w:szCs w:val="24"/>
          <w:lang w:val="en-US" w:eastAsia="zh-CN"/>
        </w:rPr>
        <w:t>5.甲方有权对乙方运维期间的检测数据进行比对，设备检测数据与第三方比对数据误差较大（任一项大于或小于20%），甲方有权终止本合同。</w:t>
      </w:r>
    </w:p>
    <w:p w14:paraId="29CEF3D2">
      <w:pPr>
        <w:pStyle w:val="37"/>
        <w:spacing w:before="166" w:line="219" w:lineRule="auto"/>
        <w:ind w:left="594"/>
        <w:rPr>
          <w:rFonts w:hint="eastAsia" w:ascii="宋体" w:hAnsi="宋体" w:eastAsia="宋体" w:cs="宋体"/>
          <w:sz w:val="24"/>
          <w:szCs w:val="24"/>
        </w:rPr>
      </w:pPr>
      <w:r>
        <w:rPr>
          <w:rFonts w:hint="eastAsia" w:ascii="宋体" w:hAnsi="宋体" w:eastAsia="宋体" w:cs="宋体"/>
          <w:spacing w:val="-1"/>
          <w:sz w:val="24"/>
          <w:szCs w:val="24"/>
        </w:rPr>
        <w:t>七、乙方权利义务</w:t>
      </w:r>
    </w:p>
    <w:p w14:paraId="4158F48F">
      <w:pPr>
        <w:pStyle w:val="37"/>
        <w:spacing w:before="175" w:line="219" w:lineRule="auto"/>
        <w:ind w:left="64" w:firstLine="480" w:firstLineChars="200"/>
        <w:rPr>
          <w:rFonts w:hint="eastAsia" w:ascii="宋体" w:hAnsi="宋体" w:eastAsia="宋体" w:cs="宋体"/>
          <w:sz w:val="24"/>
          <w:szCs w:val="24"/>
        </w:rPr>
      </w:pPr>
      <w:r>
        <w:rPr>
          <w:rFonts w:hint="eastAsia" w:ascii="宋体" w:hAnsi="宋体" w:eastAsia="宋体" w:cs="宋体"/>
          <w:sz w:val="24"/>
          <w:szCs w:val="24"/>
        </w:rPr>
        <w:t>1.根据委托权限在委托期限内完成受托事务的义务。</w:t>
      </w:r>
    </w:p>
    <w:p w14:paraId="275231B3">
      <w:pPr>
        <w:pStyle w:val="37"/>
        <w:spacing w:before="184" w:line="219" w:lineRule="auto"/>
        <w:ind w:left="64" w:firstLine="480" w:firstLineChars="200"/>
        <w:rPr>
          <w:rFonts w:hint="eastAsia" w:ascii="宋体" w:hAnsi="宋体" w:eastAsia="宋体" w:cs="宋体"/>
          <w:sz w:val="24"/>
          <w:szCs w:val="24"/>
        </w:rPr>
      </w:pPr>
      <w:r>
        <w:rPr>
          <w:rFonts w:hint="eastAsia" w:ascii="宋体" w:hAnsi="宋体" w:eastAsia="宋体" w:cs="宋体"/>
          <w:sz w:val="24"/>
          <w:szCs w:val="24"/>
        </w:rPr>
        <w:t>2.完成委托事务应尽忠诚与勤勉义务，严格按规范流程操作。</w:t>
      </w:r>
    </w:p>
    <w:p w14:paraId="76370A37">
      <w:pPr>
        <w:pStyle w:val="37"/>
        <w:spacing w:before="204" w:line="218" w:lineRule="auto"/>
        <w:ind w:left="64" w:firstLine="476" w:firstLineChars="200"/>
        <w:rPr>
          <w:rFonts w:hint="eastAsia" w:ascii="宋体" w:hAnsi="宋体" w:eastAsia="宋体" w:cs="宋体"/>
          <w:sz w:val="24"/>
          <w:szCs w:val="24"/>
        </w:rPr>
      </w:pPr>
      <w:r>
        <w:rPr>
          <w:rFonts w:hint="eastAsia" w:ascii="宋体" w:hAnsi="宋体" w:eastAsia="宋体" w:cs="宋体"/>
          <w:spacing w:val="-1"/>
          <w:sz w:val="24"/>
          <w:szCs w:val="24"/>
        </w:rPr>
        <w:t>3.按照甲方要求报告受托事务处理情况的义务。</w:t>
      </w:r>
    </w:p>
    <w:p w14:paraId="247D388F">
      <w:pPr>
        <w:pStyle w:val="37"/>
        <w:spacing w:before="169" w:line="219" w:lineRule="auto"/>
        <w:ind w:left="64" w:firstLine="480" w:firstLineChars="200"/>
        <w:rPr>
          <w:rFonts w:hint="eastAsia" w:ascii="宋体" w:hAnsi="宋体" w:eastAsia="宋体" w:cs="宋体"/>
          <w:sz w:val="24"/>
          <w:szCs w:val="24"/>
        </w:rPr>
      </w:pPr>
      <w:r>
        <w:rPr>
          <w:rFonts w:hint="eastAsia" w:ascii="宋体" w:hAnsi="宋体" w:eastAsia="宋体" w:cs="宋体"/>
          <w:sz w:val="24"/>
          <w:szCs w:val="24"/>
        </w:rPr>
        <w:t>4.完成受托事务取得的成果与利益转交给甲方的义务。</w:t>
      </w:r>
    </w:p>
    <w:p w14:paraId="5B374C01">
      <w:pPr>
        <w:pStyle w:val="37"/>
        <w:spacing w:before="186" w:line="314" w:lineRule="auto"/>
        <w:ind w:left="64" w:firstLine="492" w:firstLineChars="200"/>
        <w:rPr>
          <w:rFonts w:hint="eastAsia" w:ascii="宋体" w:hAnsi="宋体" w:eastAsia="宋体" w:cs="宋体"/>
          <w:sz w:val="24"/>
          <w:szCs w:val="24"/>
        </w:rPr>
      </w:pPr>
      <w:r>
        <w:rPr>
          <w:rFonts w:hint="eastAsia" w:ascii="宋体" w:hAnsi="宋体" w:eastAsia="宋体" w:cs="宋体"/>
          <w:spacing w:val="3"/>
          <w:sz w:val="24"/>
          <w:szCs w:val="24"/>
        </w:rPr>
        <w:t>5.完成委托事务时接受甲方监督的义务。乙方应按照甲方要求对工作成</w:t>
      </w:r>
      <w:r>
        <w:rPr>
          <w:rFonts w:hint="eastAsia" w:ascii="宋体" w:hAnsi="宋体" w:eastAsia="宋体" w:cs="宋体"/>
          <w:spacing w:val="2"/>
          <w:sz w:val="24"/>
          <w:szCs w:val="24"/>
        </w:rPr>
        <w:t>果进行补充、</w:t>
      </w:r>
      <w:r>
        <w:rPr>
          <w:rFonts w:hint="eastAsia" w:ascii="宋体" w:hAnsi="宋体" w:eastAsia="宋体" w:cs="宋体"/>
          <w:spacing w:val="1"/>
          <w:sz w:val="24"/>
          <w:szCs w:val="24"/>
        </w:rPr>
        <w:t>修改，直至通过甲方验收，如需延期应当按照甲方项目管理相关规定提前申请，否则，</w:t>
      </w:r>
      <w:r>
        <w:rPr>
          <w:rFonts w:hint="eastAsia" w:ascii="宋体" w:hAnsi="宋体" w:eastAsia="宋体" w:cs="宋体"/>
          <w:spacing w:val="-1"/>
          <w:sz w:val="24"/>
          <w:szCs w:val="24"/>
        </w:rPr>
        <w:t>乙方应承担延期交付的违约责任。</w:t>
      </w:r>
    </w:p>
    <w:p w14:paraId="6F9DBAF4">
      <w:pPr>
        <w:pStyle w:val="37"/>
        <w:spacing w:before="32" w:line="359" w:lineRule="auto"/>
        <w:ind w:right="135" w:firstLine="480" w:firstLineChars="200"/>
        <w:jc w:val="both"/>
        <w:rPr>
          <w:rFonts w:hint="eastAsia" w:ascii="宋体" w:hAnsi="宋体" w:eastAsia="宋体" w:cs="宋体"/>
          <w:sz w:val="24"/>
          <w:szCs w:val="24"/>
        </w:rPr>
      </w:pPr>
      <w:r>
        <w:rPr>
          <w:rFonts w:hint="eastAsia" w:ascii="宋体" w:hAnsi="宋体" w:eastAsia="宋体" w:cs="宋体"/>
          <w:sz w:val="24"/>
          <w:szCs w:val="24"/>
        </w:rPr>
        <w:t>6.乙方保证其人员具备完成本合同项下工作所需的相应资格和能力，并保证委托期限乙方人员的稳定性，项目负责人、技术负责人等主要岗位人员不得更换，未经甲方事先同意，乙方不得随意更换本项目的工作人员。乙方人员</w:t>
      </w:r>
      <w:r>
        <w:rPr>
          <w:rFonts w:hint="eastAsia" w:ascii="宋体" w:hAnsi="宋体" w:eastAsia="宋体" w:cs="宋体"/>
          <w:spacing w:val="-1"/>
          <w:sz w:val="24"/>
          <w:szCs w:val="24"/>
        </w:rPr>
        <w:t>的工作能力及表现不符合</w:t>
      </w:r>
      <w:r>
        <w:rPr>
          <w:rFonts w:hint="eastAsia" w:ascii="宋体" w:hAnsi="宋体" w:eastAsia="宋体" w:cs="宋体"/>
          <w:sz w:val="24"/>
          <w:szCs w:val="24"/>
        </w:rPr>
        <w:t>本合同约定和甲方要求的，甲方有权要求乙方在甲方指定的期限内更换。</w:t>
      </w:r>
    </w:p>
    <w:p w14:paraId="4C256A50">
      <w:pPr>
        <w:pStyle w:val="37"/>
        <w:spacing w:line="291" w:lineRule="auto"/>
        <w:ind w:left="0" w:leftChars="0" w:right="163" w:firstLine="540" w:firstLineChars="225"/>
        <w:rPr>
          <w:rFonts w:hint="eastAsia" w:ascii="宋体" w:hAnsi="宋体" w:eastAsia="宋体" w:cs="宋体"/>
          <w:sz w:val="24"/>
          <w:szCs w:val="24"/>
        </w:rPr>
      </w:pPr>
      <w:r>
        <w:rPr>
          <w:rFonts w:hint="eastAsia" w:ascii="宋体" w:hAnsi="宋体" w:eastAsia="宋体" w:cs="宋体"/>
          <w:sz w:val="24"/>
          <w:szCs w:val="24"/>
        </w:rPr>
        <w:t>7.在履行本合同义务时，乙方应采取相应措施保证乙方人员的人身、财产安全。造成人身或财产损害的，由乙方承担全部责任和费用。</w:t>
      </w:r>
    </w:p>
    <w:p w14:paraId="606EACDE">
      <w:pPr>
        <w:pStyle w:val="37"/>
        <w:spacing w:before="192" w:line="295" w:lineRule="auto"/>
        <w:ind w:left="94" w:right="149" w:firstLine="480" w:firstLineChars="200"/>
        <w:rPr>
          <w:rFonts w:hint="eastAsia" w:ascii="宋体" w:hAnsi="宋体" w:eastAsia="宋体" w:cs="宋体"/>
          <w:sz w:val="24"/>
          <w:szCs w:val="24"/>
        </w:rPr>
      </w:pPr>
      <w:r>
        <w:rPr>
          <w:rFonts w:hint="eastAsia" w:ascii="宋体" w:hAnsi="宋体" w:eastAsia="宋体" w:cs="宋体"/>
          <w:sz w:val="24"/>
          <w:szCs w:val="24"/>
        </w:rPr>
        <w:t>8.乙方保证在履行本合同过程中，不得侵犯任何第三方的合法权益，否则乙方应负责解决由此产生的一切纠纷，承担相应法律责任，并赔偿甲方因此遭受的所有损失。</w:t>
      </w:r>
    </w:p>
    <w:p w14:paraId="1E3DAB91">
      <w:pPr>
        <w:pStyle w:val="37"/>
        <w:spacing w:before="184" w:line="289" w:lineRule="auto"/>
        <w:ind w:left="94" w:right="175" w:firstLine="480" w:firstLineChars="200"/>
        <w:rPr>
          <w:rFonts w:hint="eastAsia" w:ascii="宋体" w:hAnsi="宋体" w:eastAsia="宋体" w:cs="宋体"/>
          <w:sz w:val="24"/>
          <w:szCs w:val="24"/>
        </w:rPr>
      </w:pPr>
      <w:r>
        <w:rPr>
          <w:rFonts w:hint="eastAsia" w:ascii="宋体" w:hAnsi="宋体" w:eastAsia="宋体" w:cs="宋体"/>
          <w:sz w:val="24"/>
          <w:szCs w:val="24"/>
        </w:rPr>
        <w:t>9.乙方应配合甲方进行项目经费审计等工作，接受甲方或</w:t>
      </w:r>
      <w:r>
        <w:rPr>
          <w:rFonts w:hint="eastAsia" w:ascii="宋体" w:hAnsi="宋体" w:eastAsia="宋体" w:cs="宋体"/>
          <w:spacing w:val="-1"/>
          <w:sz w:val="24"/>
          <w:szCs w:val="24"/>
        </w:rPr>
        <w:t>其委托的有资质的第三方机</w:t>
      </w:r>
      <w:r>
        <w:rPr>
          <w:rFonts w:hint="eastAsia" w:ascii="宋体" w:hAnsi="宋体" w:eastAsia="宋体" w:cs="宋体"/>
          <w:sz w:val="24"/>
          <w:szCs w:val="24"/>
        </w:rPr>
        <w:t>构及有关部门的监督检查和绩效评价等工作。</w:t>
      </w:r>
    </w:p>
    <w:p w14:paraId="02E0E4FA">
      <w:pPr>
        <w:pStyle w:val="37"/>
        <w:spacing w:before="168" w:line="219" w:lineRule="auto"/>
        <w:ind w:left="94" w:firstLine="480" w:firstLineChars="200"/>
        <w:rPr>
          <w:rFonts w:hint="eastAsia" w:ascii="宋体" w:hAnsi="宋体" w:eastAsia="宋体" w:cs="宋体"/>
          <w:sz w:val="24"/>
          <w:szCs w:val="24"/>
        </w:rPr>
      </w:pPr>
      <w:r>
        <w:rPr>
          <w:rFonts w:hint="eastAsia" w:ascii="宋体" w:hAnsi="宋体" w:eastAsia="宋体" w:cs="宋体"/>
          <w:sz w:val="24"/>
          <w:szCs w:val="24"/>
        </w:rPr>
        <w:t>10.乙方应保证本合同项下的项目费用必须单独核算，专款专用。</w:t>
      </w:r>
    </w:p>
    <w:p w14:paraId="7B594533">
      <w:pPr>
        <w:ind w:left="0" w:leftChars="0" w:firstLine="600" w:firstLineChars="250"/>
        <w:rPr>
          <w:rFonts w:hint="eastAsia" w:ascii="宋体" w:hAnsi="宋体" w:eastAsia="宋体" w:cs="宋体"/>
          <w:spacing w:val="-1"/>
          <w:sz w:val="24"/>
          <w:szCs w:val="24"/>
        </w:rPr>
      </w:pPr>
      <w:r>
        <w:rPr>
          <w:rFonts w:hint="eastAsia" w:ascii="宋体" w:hAnsi="宋体" w:eastAsia="宋体" w:cs="宋体"/>
          <w:sz w:val="24"/>
          <w:szCs w:val="24"/>
        </w:rPr>
        <w:t>11.未经甲方事先书面同意，乙方不得将本合同项下的权利转让给其他任何第三</w:t>
      </w:r>
      <w:r>
        <w:rPr>
          <w:rFonts w:hint="eastAsia" w:ascii="宋体" w:hAnsi="宋体" w:eastAsia="宋体" w:cs="宋体"/>
          <w:spacing w:val="-1"/>
          <w:sz w:val="24"/>
          <w:szCs w:val="24"/>
        </w:rPr>
        <w:t>方。</w:t>
      </w:r>
    </w:p>
    <w:p w14:paraId="3ECD78A1">
      <w:pPr>
        <w:pStyle w:val="37"/>
        <w:spacing w:before="181" w:line="290" w:lineRule="auto"/>
        <w:ind w:left="94" w:right="154" w:firstLine="480" w:firstLineChars="200"/>
        <w:rPr>
          <w:rFonts w:hint="eastAsia" w:ascii="宋体" w:hAnsi="宋体" w:eastAsia="宋体" w:cs="宋体"/>
          <w:sz w:val="24"/>
          <w:szCs w:val="24"/>
        </w:rPr>
      </w:pPr>
      <w:r>
        <w:rPr>
          <w:rFonts w:hint="eastAsia" w:ascii="宋体" w:hAnsi="宋体" w:eastAsia="宋体" w:cs="宋体"/>
          <w:sz w:val="24"/>
          <w:szCs w:val="24"/>
        </w:rPr>
        <w:t>12、乙方应严格落实安全生产责任，遵守劳动法及劳动合同法等用工制度，为履行合</w:t>
      </w:r>
      <w:r>
        <w:rPr>
          <w:rFonts w:hint="eastAsia" w:ascii="宋体" w:hAnsi="宋体" w:eastAsia="宋体" w:cs="宋体"/>
          <w:spacing w:val="9"/>
          <w:sz w:val="24"/>
          <w:szCs w:val="24"/>
        </w:rPr>
        <w:t xml:space="preserve"> </w:t>
      </w:r>
      <w:r>
        <w:rPr>
          <w:rFonts w:hint="eastAsia" w:ascii="宋体" w:hAnsi="宋体" w:eastAsia="宋体" w:cs="宋体"/>
          <w:sz w:val="24"/>
          <w:szCs w:val="24"/>
        </w:rPr>
        <w:t>同义务的人员提供必要的劳动保护和投缴相应的保</w:t>
      </w:r>
      <w:r>
        <w:rPr>
          <w:rFonts w:hint="eastAsia" w:ascii="宋体" w:hAnsi="宋体" w:eastAsia="宋体" w:cs="宋体"/>
          <w:spacing w:val="-1"/>
          <w:sz w:val="24"/>
          <w:szCs w:val="24"/>
        </w:rPr>
        <w:t>险。</w:t>
      </w:r>
    </w:p>
    <w:p w14:paraId="7033D649">
      <w:pPr>
        <w:pStyle w:val="37"/>
        <w:spacing w:before="186" w:line="219" w:lineRule="auto"/>
        <w:ind w:left="585"/>
        <w:rPr>
          <w:rFonts w:hint="eastAsia" w:ascii="宋体" w:hAnsi="宋体" w:eastAsia="宋体" w:cs="宋体"/>
          <w:sz w:val="24"/>
          <w:szCs w:val="24"/>
        </w:rPr>
      </w:pPr>
      <w:r>
        <w:rPr>
          <w:rFonts w:hint="eastAsia" w:ascii="宋体" w:hAnsi="宋体" w:eastAsia="宋体" w:cs="宋体"/>
          <w:spacing w:val="1"/>
          <w:sz w:val="24"/>
          <w:szCs w:val="24"/>
        </w:rPr>
        <w:t>八、知识产权条款</w:t>
      </w:r>
    </w:p>
    <w:p w14:paraId="77E05AD8">
      <w:pPr>
        <w:pStyle w:val="37"/>
        <w:spacing w:before="186" w:line="219" w:lineRule="auto"/>
        <w:ind w:left="94" w:firstLine="480" w:firstLineChars="200"/>
        <w:rPr>
          <w:rFonts w:hint="eastAsia" w:ascii="宋体" w:hAnsi="宋体" w:eastAsia="宋体" w:cs="宋体"/>
          <w:sz w:val="24"/>
          <w:szCs w:val="24"/>
        </w:rPr>
      </w:pPr>
      <w:r>
        <w:rPr>
          <w:rFonts w:hint="eastAsia" w:ascii="宋体" w:hAnsi="宋体" w:eastAsia="宋体" w:cs="宋体"/>
          <w:sz w:val="24"/>
          <w:szCs w:val="24"/>
        </w:rPr>
        <w:t>1.乙方接受项目委托专项工作所形成工作成果的知识产权归甲方所有。</w:t>
      </w:r>
    </w:p>
    <w:p w14:paraId="7384C0B2">
      <w:pPr>
        <w:pStyle w:val="37"/>
        <w:spacing w:before="164" w:line="330" w:lineRule="auto"/>
        <w:ind w:left="94" w:right="44" w:firstLine="492" w:firstLineChars="200"/>
        <w:rPr>
          <w:rFonts w:hint="eastAsia" w:ascii="宋体" w:hAnsi="宋体" w:eastAsia="宋体" w:cs="宋体"/>
          <w:sz w:val="24"/>
          <w:szCs w:val="24"/>
        </w:rPr>
      </w:pPr>
      <w:r>
        <w:rPr>
          <w:rFonts w:hint="eastAsia" w:ascii="宋体" w:hAnsi="宋体" w:eastAsia="宋体" w:cs="宋体"/>
          <w:spacing w:val="3"/>
          <w:sz w:val="24"/>
          <w:szCs w:val="24"/>
        </w:rPr>
        <w:t>2.乙方保证其向甲方提供的服务属于自有合法权利，不存在任何侵犯第三方著作权、</w:t>
      </w:r>
      <w:r>
        <w:rPr>
          <w:rFonts w:hint="eastAsia" w:ascii="宋体" w:hAnsi="宋体" w:eastAsia="宋体" w:cs="宋体"/>
          <w:spacing w:val="5"/>
          <w:sz w:val="24"/>
          <w:szCs w:val="24"/>
        </w:rPr>
        <w:t xml:space="preserve"> </w:t>
      </w:r>
      <w:r>
        <w:rPr>
          <w:rFonts w:hint="eastAsia" w:ascii="宋体" w:hAnsi="宋体" w:eastAsia="宋体" w:cs="宋体"/>
          <w:sz w:val="24"/>
          <w:szCs w:val="24"/>
        </w:rPr>
        <w:t>商标权、专利权等合法权益的情形。任何第三方以本合同项下的成果侵权为由向甲方</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主张权利的，乙方应按照甲方要求处理，赔偿因此给甲方造成的全</w:t>
      </w:r>
      <w:r>
        <w:rPr>
          <w:rFonts w:hint="eastAsia" w:ascii="宋体" w:hAnsi="宋体" w:eastAsia="宋体" w:cs="宋体"/>
          <w:sz w:val="24"/>
          <w:szCs w:val="24"/>
        </w:rPr>
        <w:t>部损失，并按照合 同的有关约定承担违约赔偿责任。</w:t>
      </w:r>
    </w:p>
    <w:p w14:paraId="31BDF870">
      <w:pPr>
        <w:pStyle w:val="37"/>
        <w:spacing w:before="184" w:line="279" w:lineRule="auto"/>
        <w:ind w:left="0" w:leftChars="0" w:right="164" w:firstLine="518" w:firstLineChars="216"/>
        <w:rPr>
          <w:rFonts w:hint="eastAsia" w:ascii="宋体" w:hAnsi="宋体" w:eastAsia="宋体" w:cs="宋体"/>
          <w:sz w:val="24"/>
          <w:szCs w:val="24"/>
        </w:rPr>
      </w:pPr>
      <w:r>
        <w:rPr>
          <w:rFonts w:hint="eastAsia" w:ascii="宋体" w:hAnsi="宋体" w:eastAsia="宋体" w:cs="宋体"/>
          <w:sz w:val="24"/>
          <w:szCs w:val="24"/>
        </w:rPr>
        <w:t>3.乙方不得侵犯甲方对委托服务成果的知识产权，否则应赔偿给甲方造成的一切经济</w:t>
      </w:r>
      <w:r>
        <w:rPr>
          <w:rFonts w:hint="eastAsia" w:ascii="宋体" w:hAnsi="宋体" w:eastAsia="宋体" w:cs="宋体"/>
          <w:spacing w:val="10"/>
          <w:sz w:val="24"/>
          <w:szCs w:val="24"/>
        </w:rPr>
        <w:t xml:space="preserve"> </w:t>
      </w:r>
      <w:r>
        <w:rPr>
          <w:rFonts w:hint="eastAsia" w:ascii="宋体" w:hAnsi="宋体" w:eastAsia="宋体" w:cs="宋体"/>
          <w:sz w:val="24"/>
          <w:szCs w:val="24"/>
        </w:rPr>
        <w:t>损失及承担全部法律责任。</w:t>
      </w:r>
    </w:p>
    <w:p w14:paraId="79309911">
      <w:pPr>
        <w:pStyle w:val="37"/>
        <w:spacing w:before="186" w:line="314" w:lineRule="auto"/>
        <w:ind w:left="94" w:right="152" w:firstLine="480" w:firstLineChars="200"/>
        <w:rPr>
          <w:rFonts w:hint="eastAsia" w:ascii="宋体" w:hAnsi="宋体" w:eastAsia="宋体" w:cs="宋体"/>
          <w:sz w:val="24"/>
          <w:szCs w:val="24"/>
        </w:rPr>
      </w:pPr>
      <w:r>
        <w:rPr>
          <w:rFonts w:hint="eastAsia" w:ascii="宋体" w:hAnsi="宋体" w:eastAsia="宋体" w:cs="宋体"/>
          <w:sz w:val="24"/>
          <w:szCs w:val="24"/>
        </w:rPr>
        <w:t>4.本合同因履行完毕、解除或不可抗力等原因导致终止的，自终止之日起三十日内，乙方应将甲方提供的所有信息和资料以及乙方的阶段性成果移交甲方，并且不得继续以任何目的、任何形式使用或擅自许可任何第三方使用，亦不得向任何第三方泄</w:t>
      </w:r>
      <w:r>
        <w:rPr>
          <w:rFonts w:hint="eastAsia" w:ascii="宋体" w:hAnsi="宋体" w:eastAsia="宋体" w:cs="宋体"/>
          <w:spacing w:val="-1"/>
          <w:sz w:val="24"/>
          <w:szCs w:val="24"/>
        </w:rPr>
        <w:t>露。</w:t>
      </w:r>
    </w:p>
    <w:p w14:paraId="24AF7F81">
      <w:pPr>
        <w:pStyle w:val="37"/>
        <w:spacing w:before="165" w:line="219" w:lineRule="auto"/>
        <w:ind w:left="585"/>
        <w:rPr>
          <w:rFonts w:hint="eastAsia" w:ascii="宋体" w:hAnsi="宋体" w:eastAsia="宋体" w:cs="宋体"/>
          <w:sz w:val="24"/>
          <w:szCs w:val="24"/>
        </w:rPr>
      </w:pPr>
      <w:r>
        <w:rPr>
          <w:rFonts w:hint="eastAsia" w:ascii="宋体" w:hAnsi="宋体" w:eastAsia="宋体" w:cs="宋体"/>
          <w:spacing w:val="1"/>
          <w:sz w:val="24"/>
          <w:szCs w:val="24"/>
        </w:rPr>
        <w:t>九、保密条款</w:t>
      </w:r>
    </w:p>
    <w:p w14:paraId="3DB30B52">
      <w:pPr>
        <w:pStyle w:val="37"/>
        <w:spacing w:before="186" w:line="292" w:lineRule="auto"/>
        <w:ind w:left="94" w:right="275" w:firstLine="480" w:firstLineChars="200"/>
        <w:rPr>
          <w:rFonts w:hint="eastAsia" w:ascii="宋体" w:hAnsi="宋体" w:eastAsia="宋体" w:cs="宋体"/>
          <w:spacing w:val="-1"/>
          <w:sz w:val="24"/>
          <w:szCs w:val="24"/>
        </w:rPr>
      </w:pPr>
      <w:r>
        <w:rPr>
          <w:rFonts w:hint="eastAsia" w:ascii="宋体" w:hAnsi="宋体" w:eastAsia="宋体" w:cs="宋体"/>
          <w:sz w:val="24"/>
          <w:szCs w:val="24"/>
        </w:rPr>
        <w:t>1.乙方及其人员对于工作过程中接触到的有关信息及本合同各阶段形成的工作成果等不为公知的信息严格保密，不得泄露给第三方，不得用于本合同外的其他目的。此保密条款持续有效，不因本合同的终止而终止。</w:t>
      </w:r>
    </w:p>
    <w:p w14:paraId="53562CD0">
      <w:pPr>
        <w:pStyle w:val="37"/>
        <w:keepNext w:val="0"/>
        <w:keepLines w:val="0"/>
        <w:pageBreakBefore w:val="0"/>
        <w:widowControl/>
        <w:kinsoku w:val="0"/>
        <w:wordWrap/>
        <w:overflowPunct/>
        <w:topLinePunct w:val="0"/>
        <w:autoSpaceDE w:val="0"/>
        <w:autoSpaceDN w:val="0"/>
        <w:bidi w:val="0"/>
        <w:adjustRightInd w:val="0"/>
        <w:snapToGrid w:val="0"/>
        <w:spacing w:before="43" w:line="288" w:lineRule="auto"/>
        <w:ind w:left="96"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2.乙方保证不向承担本合同项下工作人员以外的其他人员披露本合同项下的保密信息。乙方应告知并采取必要的有效措施保证其参与本项目之人员无论是在职中或离职</w:t>
      </w:r>
      <w:r>
        <w:rPr>
          <w:rFonts w:hint="eastAsia" w:ascii="宋体" w:hAnsi="宋体" w:eastAsia="宋体" w:cs="宋体"/>
          <w:spacing w:val="1"/>
          <w:sz w:val="24"/>
          <w:szCs w:val="24"/>
        </w:rPr>
        <w:t>后都能够履行本合同项下的保密义务。若乙方人员违反本条规定，乙方应与侵权人承</w:t>
      </w:r>
      <w:r>
        <w:rPr>
          <w:rFonts w:hint="eastAsia" w:ascii="宋体" w:hAnsi="宋体" w:eastAsia="宋体" w:cs="宋体"/>
          <w:sz w:val="24"/>
          <w:szCs w:val="24"/>
        </w:rPr>
        <w:t>担连带责任。</w:t>
      </w:r>
    </w:p>
    <w:p w14:paraId="407F5355">
      <w:pPr>
        <w:pStyle w:val="37"/>
        <w:spacing w:before="184" w:line="286" w:lineRule="auto"/>
        <w:ind w:left="94" w:right="124" w:firstLine="520" w:firstLineChars="217"/>
        <w:rPr>
          <w:rFonts w:hint="eastAsia" w:ascii="宋体" w:hAnsi="宋体" w:eastAsia="宋体" w:cs="宋体"/>
          <w:sz w:val="24"/>
          <w:szCs w:val="24"/>
        </w:rPr>
      </w:pPr>
      <w:r>
        <w:rPr>
          <w:rFonts w:hint="eastAsia" w:ascii="宋体" w:hAnsi="宋体" w:eastAsia="宋体" w:cs="宋体"/>
          <w:sz w:val="24"/>
          <w:szCs w:val="24"/>
        </w:rPr>
        <w:t>3.本合同解除或者终止时，乙方应当立即停止使用甲方提供的一切相关资料，同时应当按照甲方的要求将资料给予返还或或根据甲方指令在甲方监督下销毁。</w:t>
      </w:r>
    </w:p>
    <w:p w14:paraId="0B9EDF7C">
      <w:pPr>
        <w:pStyle w:val="37"/>
        <w:spacing w:before="207" w:line="219" w:lineRule="auto"/>
        <w:ind w:left="585"/>
        <w:rPr>
          <w:rFonts w:hint="eastAsia" w:ascii="宋体" w:hAnsi="宋体" w:eastAsia="宋体" w:cs="宋体"/>
          <w:sz w:val="24"/>
          <w:szCs w:val="24"/>
        </w:rPr>
      </w:pPr>
      <w:r>
        <w:rPr>
          <w:rFonts w:hint="eastAsia" w:ascii="宋体" w:hAnsi="宋体" w:eastAsia="宋体" w:cs="宋体"/>
          <w:sz w:val="24"/>
          <w:szCs w:val="24"/>
        </w:rPr>
        <w:t>十、违约金或者损失赔偿额的计算方法：</w:t>
      </w:r>
    </w:p>
    <w:p w14:paraId="5C1BF85C">
      <w:pPr>
        <w:pStyle w:val="37"/>
        <w:spacing w:before="175" w:line="356" w:lineRule="auto"/>
        <w:ind w:left="74" w:right="144" w:firstLine="544" w:firstLineChars="227"/>
        <w:rPr>
          <w:rFonts w:hint="eastAsia" w:ascii="宋体" w:hAnsi="宋体" w:eastAsia="宋体" w:cs="宋体"/>
          <w:sz w:val="24"/>
          <w:szCs w:val="24"/>
        </w:rPr>
      </w:pPr>
      <w:r>
        <w:rPr>
          <w:rFonts w:hint="eastAsia" w:ascii="宋体" w:hAnsi="宋体" w:eastAsia="宋体" w:cs="宋体"/>
          <w:sz w:val="24"/>
          <w:szCs w:val="24"/>
        </w:rPr>
        <w:t>违反本合同约定，违约方应当按照《中华人民共和国民法典</w:t>
      </w:r>
      <w:r>
        <w:rPr>
          <w:rFonts w:hint="eastAsia" w:ascii="宋体" w:hAnsi="宋体" w:eastAsia="宋体" w:cs="宋体"/>
          <w:spacing w:val="-1"/>
          <w:sz w:val="24"/>
          <w:szCs w:val="24"/>
        </w:rPr>
        <w:t>》有关条款的规定承担违</w:t>
      </w:r>
      <w:r>
        <w:rPr>
          <w:rFonts w:hint="eastAsia" w:ascii="宋体" w:hAnsi="宋体" w:eastAsia="宋体" w:cs="宋体"/>
          <w:sz w:val="24"/>
          <w:szCs w:val="24"/>
        </w:rPr>
        <w:t>约责任。</w:t>
      </w:r>
    </w:p>
    <w:p w14:paraId="3DAD1184">
      <w:pPr>
        <w:pStyle w:val="37"/>
        <w:spacing w:before="2" w:line="295" w:lineRule="auto"/>
        <w:ind w:left="84" w:right="121" w:firstLine="535" w:firstLineChars="223"/>
        <w:rPr>
          <w:rFonts w:hint="eastAsia" w:ascii="宋体" w:hAnsi="宋体" w:eastAsia="宋体" w:cs="宋体"/>
          <w:sz w:val="24"/>
          <w:szCs w:val="24"/>
        </w:rPr>
      </w:pPr>
      <w:r>
        <w:rPr>
          <w:rFonts w:hint="eastAsia" w:ascii="宋体" w:hAnsi="宋体" w:eastAsia="宋体" w:cs="宋体"/>
          <w:sz w:val="24"/>
          <w:szCs w:val="24"/>
        </w:rPr>
        <w:t>1.乙方若未履行或未完全履行本合同约定，甲方有权要求乙方继续履行、采取补救措施并赔偿损失。</w:t>
      </w:r>
    </w:p>
    <w:p w14:paraId="57E52E42">
      <w:pPr>
        <w:pStyle w:val="37"/>
        <w:spacing w:before="196" w:line="330" w:lineRule="auto"/>
        <w:ind w:left="74" w:right="57" w:firstLine="544" w:firstLineChars="227"/>
        <w:rPr>
          <w:rFonts w:hint="eastAsia" w:ascii="宋体" w:hAnsi="宋体" w:eastAsia="宋体" w:cs="宋体"/>
          <w:sz w:val="24"/>
          <w:szCs w:val="24"/>
        </w:rPr>
      </w:pPr>
      <w:r>
        <w:rPr>
          <w:rFonts w:hint="eastAsia" w:ascii="宋体" w:hAnsi="宋体" w:eastAsia="宋体" w:cs="宋体"/>
          <w:sz w:val="24"/>
          <w:szCs w:val="24"/>
        </w:rPr>
        <w:t>2.若乙方不按照本合同约定履行义务或提交的工作成果或服务未通过甲方</w:t>
      </w:r>
      <w:r>
        <w:rPr>
          <w:rFonts w:hint="eastAsia" w:ascii="宋体" w:hAnsi="宋体" w:eastAsia="宋体" w:cs="宋体"/>
          <w:sz w:val="24"/>
          <w:szCs w:val="24"/>
          <w:lang w:eastAsia="zh-CN"/>
        </w:rPr>
        <w:t>考核</w:t>
      </w:r>
      <w:r>
        <w:rPr>
          <w:rFonts w:hint="eastAsia" w:ascii="宋体" w:hAnsi="宋体" w:eastAsia="宋体" w:cs="宋体"/>
          <w:sz w:val="24"/>
          <w:szCs w:val="24"/>
        </w:rPr>
        <w:t>，甲方有权解除本合同并要求乙方退还全部委托费用并承担合同总金额【30】%的违约金，如</w:t>
      </w:r>
      <w:r>
        <w:rPr>
          <w:rFonts w:hint="eastAsia" w:ascii="宋体" w:hAnsi="宋体" w:eastAsia="宋体" w:cs="宋体"/>
          <w:spacing w:val="2"/>
          <w:sz w:val="24"/>
          <w:szCs w:val="24"/>
        </w:rPr>
        <w:t>乙方提供的服务无法实现合同目的，甲方有权解除合同，要求乙方退还全部的委托费</w:t>
      </w:r>
      <w:r>
        <w:rPr>
          <w:rFonts w:hint="eastAsia" w:ascii="宋体" w:hAnsi="宋体" w:eastAsia="宋体" w:cs="宋体"/>
          <w:sz w:val="24"/>
          <w:szCs w:val="24"/>
        </w:rPr>
        <w:t>用并承担合同总金额【30】%的违约金，如违约金不足以弥补甲方的损失，乙方应赔</w:t>
      </w:r>
      <w:r>
        <w:rPr>
          <w:rFonts w:hint="eastAsia" w:ascii="宋体" w:hAnsi="宋体" w:eastAsia="宋体" w:cs="宋体"/>
          <w:spacing w:val="2"/>
          <w:sz w:val="24"/>
          <w:szCs w:val="24"/>
        </w:rPr>
        <w:t>偿由此给甲方造成的损失。</w:t>
      </w:r>
    </w:p>
    <w:p w14:paraId="35880F72">
      <w:pPr>
        <w:pStyle w:val="37"/>
        <w:spacing w:before="165" w:line="330" w:lineRule="auto"/>
        <w:ind w:left="74" w:right="62" w:firstLine="480" w:firstLineChars="200"/>
        <w:rPr>
          <w:rFonts w:hint="eastAsia" w:ascii="宋体" w:hAnsi="宋体" w:eastAsia="宋体" w:cs="宋体"/>
          <w:sz w:val="24"/>
          <w:szCs w:val="24"/>
        </w:rPr>
      </w:pPr>
      <w:r>
        <w:rPr>
          <w:rFonts w:hint="eastAsia" w:ascii="宋体" w:hAnsi="宋体" w:eastAsia="宋体" w:cs="宋体"/>
          <w:sz w:val="24"/>
          <w:szCs w:val="24"/>
        </w:rPr>
        <w:t>3.乙方未按照本合同约定的时间交付阶段性/最终工作成果，每延期交付一日，乙方应向甲方支付合同总金额【0.03】%的违约金。乙方经甲方批准后的项目延期交付不视为</w:t>
      </w:r>
      <w:r>
        <w:rPr>
          <w:rFonts w:hint="eastAsia" w:ascii="宋体" w:hAnsi="宋体" w:eastAsia="宋体" w:cs="宋体"/>
          <w:spacing w:val="2"/>
          <w:sz w:val="24"/>
          <w:szCs w:val="24"/>
        </w:rPr>
        <w:t>违约行为。逾期超过30日的，甲方有权解除合同，要求乙方退还全部的</w:t>
      </w:r>
      <w:r>
        <w:rPr>
          <w:rFonts w:hint="eastAsia" w:ascii="宋体" w:hAnsi="宋体" w:eastAsia="宋体" w:cs="宋体"/>
          <w:spacing w:val="1"/>
          <w:sz w:val="24"/>
          <w:szCs w:val="24"/>
        </w:rPr>
        <w:t>委托费用并承</w:t>
      </w:r>
      <w:r>
        <w:rPr>
          <w:rFonts w:hint="eastAsia" w:ascii="宋体" w:hAnsi="宋体" w:eastAsia="宋体" w:cs="宋体"/>
          <w:sz w:val="24"/>
          <w:szCs w:val="24"/>
        </w:rPr>
        <w:t>担合同总金额【30】%的违约金，如违约金不足以弥补甲方</w:t>
      </w:r>
      <w:r>
        <w:rPr>
          <w:rFonts w:hint="eastAsia" w:ascii="宋体" w:hAnsi="宋体" w:eastAsia="宋体" w:cs="宋体"/>
          <w:spacing w:val="-1"/>
          <w:sz w:val="24"/>
          <w:szCs w:val="24"/>
        </w:rPr>
        <w:t>的损失，乙方应并赔偿由此</w:t>
      </w:r>
      <w:r>
        <w:rPr>
          <w:rFonts w:hint="eastAsia" w:ascii="宋体" w:hAnsi="宋体" w:eastAsia="宋体" w:cs="宋体"/>
          <w:spacing w:val="1"/>
          <w:sz w:val="24"/>
          <w:szCs w:val="24"/>
        </w:rPr>
        <w:t>给甲方造成的损失。</w:t>
      </w:r>
    </w:p>
    <w:p w14:paraId="4E68935D">
      <w:pPr>
        <w:pStyle w:val="37"/>
        <w:spacing w:before="174" w:line="319" w:lineRule="auto"/>
        <w:ind w:right="57" w:firstLine="480" w:firstLineChars="200"/>
        <w:rPr>
          <w:rFonts w:hint="eastAsia" w:ascii="宋体" w:hAnsi="宋体" w:eastAsia="宋体" w:cs="宋体"/>
          <w:sz w:val="24"/>
          <w:szCs w:val="24"/>
        </w:rPr>
      </w:pPr>
      <w:r>
        <w:rPr>
          <w:rFonts w:hint="eastAsia" w:ascii="宋体" w:hAnsi="宋体" w:eastAsia="宋体" w:cs="宋体"/>
          <w:sz w:val="24"/>
          <w:szCs w:val="24"/>
        </w:rPr>
        <w:t>4.乙方未经甲方批准，擅自将委托事项全部或部分转委托给其</w:t>
      </w:r>
      <w:r>
        <w:rPr>
          <w:rFonts w:hint="eastAsia" w:ascii="宋体" w:hAnsi="宋体" w:eastAsia="宋体" w:cs="宋体"/>
          <w:spacing w:val="-1"/>
          <w:sz w:val="24"/>
          <w:szCs w:val="24"/>
        </w:rPr>
        <w:t>他人实施的，甲方有权</w:t>
      </w:r>
      <w:r>
        <w:rPr>
          <w:rFonts w:hint="eastAsia" w:ascii="宋体" w:hAnsi="宋体" w:eastAsia="宋体" w:cs="宋体"/>
          <w:sz w:val="24"/>
          <w:szCs w:val="24"/>
        </w:rPr>
        <w:t>解除合同，并要求乙方支付合同总金额【30】%作为违约金。由此造成的经济损失由乙</w:t>
      </w:r>
      <w:r>
        <w:rPr>
          <w:rFonts w:hint="eastAsia" w:ascii="宋体" w:hAnsi="宋体" w:eastAsia="宋体" w:cs="宋体"/>
          <w:spacing w:val="4"/>
          <w:sz w:val="24"/>
          <w:szCs w:val="24"/>
        </w:rPr>
        <w:t>方承担。</w:t>
      </w:r>
    </w:p>
    <w:p w14:paraId="1FAAFF18">
      <w:pPr>
        <w:pStyle w:val="37"/>
        <w:spacing w:before="32" w:line="359" w:lineRule="auto"/>
        <w:ind w:right="135" w:firstLine="484" w:firstLineChars="200"/>
        <w:jc w:val="both"/>
        <w:rPr>
          <w:rFonts w:hint="eastAsia" w:ascii="宋体" w:hAnsi="宋体" w:eastAsia="宋体" w:cs="宋体"/>
          <w:sz w:val="24"/>
          <w:szCs w:val="24"/>
        </w:rPr>
      </w:pPr>
      <w:r>
        <w:rPr>
          <w:rFonts w:hint="eastAsia" w:ascii="宋体" w:hAnsi="宋体" w:eastAsia="宋体" w:cs="宋体"/>
          <w:spacing w:val="1"/>
          <w:sz w:val="24"/>
          <w:szCs w:val="24"/>
        </w:rPr>
        <w:t>5.如违约金不足以弥补甲方因此遭受的经济</w:t>
      </w:r>
      <w:r>
        <w:rPr>
          <w:rFonts w:hint="eastAsia" w:ascii="宋体" w:hAnsi="宋体" w:eastAsia="宋体" w:cs="宋体"/>
          <w:sz w:val="24"/>
          <w:szCs w:val="24"/>
        </w:rPr>
        <w:t>损失，包括甲方为签约付出的合理费用以</w:t>
      </w:r>
      <w:r>
        <w:rPr>
          <w:rFonts w:hint="eastAsia" w:ascii="宋体" w:hAnsi="宋体" w:eastAsia="宋体" w:cs="宋体"/>
          <w:spacing w:val="2"/>
          <w:sz w:val="24"/>
          <w:szCs w:val="24"/>
        </w:rPr>
        <w:t>及在合同履行后可以获得的利益(包括但不限于实际损失、预期损失和甲方为此支付</w:t>
      </w:r>
      <w:r>
        <w:rPr>
          <w:rFonts w:hint="eastAsia" w:ascii="宋体" w:hAnsi="宋体" w:eastAsia="宋体" w:cs="宋体"/>
          <w:sz w:val="24"/>
          <w:szCs w:val="24"/>
        </w:rPr>
        <w:t>的律师费、交通费和差旅费等),则乙方还应承担赔偿责任。</w:t>
      </w:r>
    </w:p>
    <w:p w14:paraId="16A9B136">
      <w:pPr>
        <w:pStyle w:val="37"/>
        <w:spacing w:before="55" w:line="219" w:lineRule="auto"/>
        <w:ind w:left="565"/>
        <w:rPr>
          <w:rFonts w:hint="eastAsia" w:ascii="宋体" w:hAnsi="宋体" w:eastAsia="宋体" w:cs="宋体"/>
          <w:sz w:val="24"/>
          <w:szCs w:val="24"/>
        </w:rPr>
      </w:pPr>
      <w:r>
        <w:rPr>
          <w:rFonts w:hint="eastAsia" w:ascii="宋体" w:hAnsi="宋体" w:eastAsia="宋体" w:cs="宋体"/>
          <w:spacing w:val="-2"/>
          <w:sz w:val="24"/>
          <w:szCs w:val="24"/>
        </w:rPr>
        <w:t>十一、解决合同纠纷的方式</w:t>
      </w:r>
    </w:p>
    <w:p w14:paraId="2D0A6AB4">
      <w:pPr>
        <w:pStyle w:val="37"/>
        <w:spacing w:before="174" w:line="369" w:lineRule="auto"/>
        <w:ind w:left="84" w:right="149" w:firstLine="490"/>
        <w:rPr>
          <w:rFonts w:hint="eastAsia" w:ascii="宋体" w:hAnsi="宋体" w:eastAsia="宋体" w:cs="宋体"/>
          <w:sz w:val="24"/>
          <w:szCs w:val="24"/>
        </w:rPr>
      </w:pPr>
      <w:r>
        <w:rPr>
          <w:rFonts w:hint="eastAsia" w:ascii="宋体" w:hAnsi="宋体" w:eastAsia="宋体" w:cs="宋体"/>
          <w:sz w:val="24"/>
          <w:szCs w:val="24"/>
        </w:rPr>
        <w:t>双方因履行本合同而发生的争议，应协商、调解解决。协商、调解不成的，确定</w:t>
      </w:r>
      <w:r>
        <w:rPr>
          <w:rFonts w:hint="eastAsia" w:ascii="宋体" w:hAnsi="宋体" w:eastAsia="宋体" w:cs="宋体"/>
          <w:spacing w:val="14"/>
          <w:sz w:val="24"/>
          <w:szCs w:val="24"/>
        </w:rPr>
        <w:t xml:space="preserve"> </w:t>
      </w:r>
      <w:r>
        <w:rPr>
          <w:rFonts w:hint="eastAsia" w:ascii="宋体" w:hAnsi="宋体" w:eastAsia="宋体" w:cs="宋体"/>
          <w:spacing w:val="6"/>
          <w:sz w:val="24"/>
          <w:szCs w:val="24"/>
        </w:rPr>
        <w:t>按以下第</w:t>
      </w:r>
      <w:r>
        <w:rPr>
          <w:rFonts w:hint="eastAsia" w:ascii="宋体" w:hAnsi="宋体" w:eastAsia="宋体" w:cs="宋体"/>
          <w:spacing w:val="6"/>
          <w:sz w:val="24"/>
          <w:szCs w:val="24"/>
          <w:u w:val="single" w:color="auto"/>
        </w:rPr>
        <w:t xml:space="preserve">   (二)   </w:t>
      </w:r>
      <w:r>
        <w:rPr>
          <w:rFonts w:hint="eastAsia" w:ascii="宋体" w:hAnsi="宋体" w:eastAsia="宋体" w:cs="宋体"/>
          <w:spacing w:val="6"/>
          <w:sz w:val="24"/>
          <w:szCs w:val="24"/>
        </w:rPr>
        <w:t>种方式处理；</w:t>
      </w:r>
    </w:p>
    <w:p w14:paraId="0E8AE946">
      <w:pPr>
        <w:pStyle w:val="37"/>
        <w:spacing w:line="218" w:lineRule="auto"/>
        <w:ind w:firstLine="504" w:firstLineChars="200"/>
        <w:rPr>
          <w:rFonts w:hint="eastAsia" w:ascii="宋体" w:hAnsi="宋体" w:eastAsia="宋体" w:cs="宋体"/>
          <w:sz w:val="24"/>
          <w:szCs w:val="24"/>
        </w:rPr>
      </w:pPr>
      <w:r>
        <w:rPr>
          <w:rFonts w:hint="eastAsia" w:ascii="宋体" w:hAnsi="宋体" w:eastAsia="宋体" w:cs="宋体"/>
          <w:spacing w:val="6"/>
          <w:sz w:val="24"/>
          <w:szCs w:val="24"/>
        </w:rPr>
        <w:t>(一)提交</w:t>
      </w:r>
      <w:r>
        <w:rPr>
          <w:rFonts w:hint="eastAsia" w:ascii="宋体" w:hAnsi="宋体" w:eastAsia="宋体" w:cs="宋体"/>
          <w:spacing w:val="6"/>
          <w:sz w:val="24"/>
          <w:szCs w:val="24"/>
          <w:u w:val="single" w:color="auto"/>
        </w:rPr>
        <w:t xml:space="preserve"> </w:t>
      </w:r>
      <w:r>
        <w:rPr>
          <w:rFonts w:hint="eastAsia" w:ascii="宋体" w:hAnsi="宋体" w:eastAsia="宋体" w:cs="宋体"/>
          <w:spacing w:val="6"/>
          <w:sz w:val="24"/>
          <w:szCs w:val="24"/>
          <w:u w:val="single" w:color="auto"/>
          <w:lang w:eastAsia="zh-CN"/>
        </w:rPr>
        <w:t>盱眙</w:t>
      </w:r>
      <w:r>
        <w:rPr>
          <w:rFonts w:hint="eastAsia" w:ascii="宋体" w:hAnsi="宋体" w:eastAsia="宋体" w:cs="宋体"/>
          <w:spacing w:val="6"/>
          <w:sz w:val="24"/>
          <w:szCs w:val="24"/>
          <w:u w:val="single" w:color="auto"/>
        </w:rPr>
        <w:t xml:space="preserve"> </w:t>
      </w:r>
      <w:r>
        <w:rPr>
          <w:rFonts w:hint="eastAsia" w:ascii="宋体" w:hAnsi="宋体" w:eastAsia="宋体" w:cs="宋体"/>
          <w:spacing w:val="6"/>
          <w:sz w:val="24"/>
          <w:szCs w:val="24"/>
        </w:rPr>
        <w:t>仲裁委员会仲裁；</w:t>
      </w:r>
    </w:p>
    <w:p w14:paraId="628D0EEB">
      <w:pPr>
        <w:pStyle w:val="37"/>
        <w:spacing w:before="175" w:line="219" w:lineRule="auto"/>
        <w:ind w:firstLine="476" w:firstLineChars="200"/>
        <w:rPr>
          <w:rFonts w:hint="eastAsia" w:ascii="宋体" w:hAnsi="宋体" w:eastAsia="宋体" w:cs="宋体"/>
          <w:sz w:val="24"/>
          <w:szCs w:val="24"/>
        </w:rPr>
      </w:pPr>
      <w:r>
        <w:rPr>
          <w:rFonts w:hint="eastAsia" w:ascii="宋体" w:hAnsi="宋体" w:eastAsia="宋体" w:cs="宋体"/>
          <w:spacing w:val="-1"/>
          <w:sz w:val="24"/>
          <w:szCs w:val="24"/>
        </w:rPr>
        <w:t>(二)依法向甲方所在地人民法院起诉。</w:t>
      </w:r>
    </w:p>
    <w:p w14:paraId="232FC745">
      <w:pPr>
        <w:pStyle w:val="37"/>
        <w:spacing w:before="178" w:line="221" w:lineRule="auto"/>
        <w:ind w:left="585"/>
        <w:rPr>
          <w:rFonts w:hint="eastAsia" w:ascii="宋体" w:hAnsi="宋体" w:eastAsia="宋体" w:cs="宋体"/>
          <w:sz w:val="24"/>
          <w:szCs w:val="24"/>
        </w:rPr>
      </w:pPr>
      <w:r>
        <w:rPr>
          <w:rFonts w:hint="eastAsia" w:ascii="宋体" w:hAnsi="宋体" w:eastAsia="宋体" w:cs="宋体"/>
          <w:spacing w:val="3"/>
          <w:sz w:val="24"/>
          <w:szCs w:val="24"/>
        </w:rPr>
        <w:t>十二、其它</w:t>
      </w:r>
    </w:p>
    <w:p w14:paraId="20094C34">
      <w:pPr>
        <w:pStyle w:val="37"/>
        <w:spacing w:before="149" w:line="378" w:lineRule="auto"/>
        <w:ind w:right="265" w:firstLine="480" w:firstLineChars="200"/>
        <w:rPr>
          <w:rFonts w:hint="eastAsia" w:ascii="宋体" w:hAnsi="宋体" w:eastAsia="宋体" w:cs="宋体"/>
          <w:sz w:val="24"/>
          <w:szCs w:val="24"/>
        </w:rPr>
      </w:pPr>
      <w:r>
        <w:rPr>
          <w:rFonts w:hint="eastAsia" w:ascii="宋体" w:hAnsi="宋体" w:eastAsia="宋体" w:cs="宋体"/>
          <w:sz w:val="24"/>
          <w:szCs w:val="24"/>
        </w:rPr>
        <w:t>(一)本合同的变更必须由双方协商一致，并以书面形式确定。但有下列情形之</w:t>
      </w:r>
      <w:r>
        <w:rPr>
          <w:rFonts w:hint="eastAsia" w:ascii="宋体" w:hAnsi="宋体" w:eastAsia="宋体" w:cs="宋体"/>
          <w:spacing w:val="8"/>
          <w:sz w:val="24"/>
          <w:szCs w:val="24"/>
        </w:rPr>
        <w:t xml:space="preserve"> </w:t>
      </w:r>
      <w:r>
        <w:rPr>
          <w:rFonts w:hint="eastAsia" w:ascii="宋体" w:hAnsi="宋体" w:eastAsia="宋体" w:cs="宋体"/>
          <w:spacing w:val="-1"/>
          <w:sz w:val="24"/>
          <w:szCs w:val="24"/>
        </w:rPr>
        <w:t>一的，一方可以向另一方提出变更合同权利与义务的请求，</w:t>
      </w:r>
      <w:r>
        <w:rPr>
          <w:rFonts w:hint="eastAsia" w:ascii="宋体" w:hAnsi="宋体" w:eastAsia="宋体" w:cs="宋体"/>
          <w:spacing w:val="-2"/>
          <w:sz w:val="24"/>
          <w:szCs w:val="24"/>
        </w:rPr>
        <w:t>另一方应当在</w:t>
      </w:r>
      <w:r>
        <w:rPr>
          <w:rFonts w:hint="eastAsia" w:ascii="宋体" w:hAnsi="宋体" w:eastAsia="宋体" w:cs="宋体"/>
          <w:spacing w:val="-2"/>
          <w:sz w:val="24"/>
          <w:szCs w:val="24"/>
          <w:u w:val="single" w:color="auto"/>
        </w:rPr>
        <w:t xml:space="preserve">30 </w:t>
      </w:r>
      <w:r>
        <w:rPr>
          <w:rFonts w:hint="eastAsia" w:ascii="宋体" w:hAnsi="宋体" w:eastAsia="宋体" w:cs="宋体"/>
          <w:spacing w:val="-2"/>
          <w:sz w:val="24"/>
          <w:szCs w:val="24"/>
        </w:rPr>
        <w:t>日内</w:t>
      </w:r>
      <w:r>
        <w:rPr>
          <w:rFonts w:hint="eastAsia" w:ascii="宋体" w:hAnsi="宋体" w:eastAsia="宋体" w:cs="宋体"/>
          <w:sz w:val="24"/>
          <w:szCs w:val="24"/>
        </w:rPr>
        <w:t>予以答复；逾期未予答复的，视为同意：</w:t>
      </w:r>
    </w:p>
    <w:p w14:paraId="4E6BA276">
      <w:pPr>
        <w:pStyle w:val="37"/>
        <w:spacing w:before="152" w:line="370" w:lineRule="auto"/>
        <w:ind w:right="497" w:firstLine="480" w:firstLineChars="200"/>
        <w:rPr>
          <w:rFonts w:hint="eastAsia" w:ascii="宋体" w:hAnsi="宋体" w:eastAsia="宋体" w:cs="宋体"/>
          <w:sz w:val="24"/>
          <w:szCs w:val="24"/>
        </w:rPr>
      </w:pPr>
      <w:r>
        <w:rPr>
          <w:rFonts w:hint="eastAsia" w:ascii="宋体" w:hAnsi="宋体" w:eastAsia="宋体" w:cs="宋体"/>
          <w:sz w:val="24"/>
          <w:szCs w:val="24"/>
        </w:rPr>
        <w:t>(二)双方确定，在本合同有效期内，甲方指定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为甲方项目联系人，乙方指定</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rPr>
        <w:t>为乙方项目联系人。项目联系人承担以下责任：</w:t>
      </w:r>
    </w:p>
    <w:p w14:paraId="7FA8700E">
      <w:pPr>
        <w:pStyle w:val="37"/>
        <w:spacing w:line="220" w:lineRule="auto"/>
        <w:ind w:left="585"/>
        <w:rPr>
          <w:rFonts w:hint="eastAsia" w:ascii="宋体" w:hAnsi="宋体" w:eastAsia="宋体" w:cs="宋体"/>
          <w:sz w:val="24"/>
          <w:szCs w:val="24"/>
        </w:rPr>
      </w:pPr>
      <w:r>
        <w:rPr>
          <w:rFonts w:hint="eastAsia" w:ascii="宋体" w:hAnsi="宋体" w:eastAsia="宋体" w:cs="宋体"/>
          <w:spacing w:val="1"/>
          <w:sz w:val="24"/>
          <w:szCs w:val="24"/>
        </w:rPr>
        <w:t>1.安排各方进度</w:t>
      </w:r>
    </w:p>
    <w:p w14:paraId="2AAA79C2">
      <w:pPr>
        <w:pStyle w:val="37"/>
        <w:spacing w:before="204" w:line="220" w:lineRule="auto"/>
        <w:ind w:left="565"/>
        <w:rPr>
          <w:rFonts w:hint="eastAsia" w:ascii="宋体" w:hAnsi="宋体" w:eastAsia="宋体" w:cs="宋体"/>
          <w:sz w:val="24"/>
          <w:szCs w:val="24"/>
        </w:rPr>
      </w:pPr>
      <w:r>
        <w:rPr>
          <w:rFonts w:hint="eastAsia" w:ascii="宋体" w:hAnsi="宋体" w:eastAsia="宋体" w:cs="宋体"/>
          <w:spacing w:val="1"/>
          <w:sz w:val="24"/>
          <w:szCs w:val="24"/>
        </w:rPr>
        <w:t>2.协调有关情况</w:t>
      </w:r>
    </w:p>
    <w:p w14:paraId="55EE1E75">
      <w:pPr>
        <w:pStyle w:val="37"/>
        <w:spacing w:before="154" w:line="219" w:lineRule="auto"/>
        <w:ind w:left="585"/>
        <w:rPr>
          <w:rFonts w:hint="eastAsia" w:ascii="宋体" w:hAnsi="宋体" w:eastAsia="宋体" w:cs="宋体"/>
          <w:sz w:val="24"/>
          <w:szCs w:val="24"/>
        </w:rPr>
      </w:pPr>
      <w:r>
        <w:rPr>
          <w:rFonts w:hint="eastAsia" w:ascii="宋体" w:hAnsi="宋体" w:eastAsia="宋体" w:cs="宋体"/>
          <w:sz w:val="24"/>
          <w:szCs w:val="24"/>
        </w:rPr>
        <w:t>3.负责组织</w:t>
      </w:r>
      <w:r>
        <w:rPr>
          <w:rFonts w:hint="eastAsia" w:ascii="宋体" w:hAnsi="宋体" w:eastAsia="宋体" w:cs="宋体"/>
          <w:sz w:val="24"/>
          <w:szCs w:val="24"/>
          <w:lang w:eastAsia="zh-CN"/>
        </w:rPr>
        <w:t>考核</w:t>
      </w:r>
      <w:r>
        <w:rPr>
          <w:rFonts w:hint="eastAsia" w:ascii="宋体" w:hAnsi="宋体" w:eastAsia="宋体" w:cs="宋体"/>
          <w:sz w:val="24"/>
          <w:szCs w:val="24"/>
        </w:rPr>
        <w:t>和交付</w:t>
      </w:r>
    </w:p>
    <w:p w14:paraId="4678FAE1">
      <w:pPr>
        <w:pStyle w:val="37"/>
        <w:spacing w:before="173" w:line="360" w:lineRule="auto"/>
        <w:ind w:left="84" w:right="143" w:firstLine="500"/>
        <w:rPr>
          <w:rFonts w:hint="eastAsia" w:ascii="宋体" w:hAnsi="宋体" w:eastAsia="宋体" w:cs="宋体"/>
          <w:sz w:val="24"/>
          <w:szCs w:val="24"/>
        </w:rPr>
      </w:pPr>
      <w:r>
        <w:rPr>
          <w:rFonts w:hint="eastAsia" w:ascii="宋体" w:hAnsi="宋体" w:eastAsia="宋体" w:cs="宋体"/>
          <w:sz w:val="24"/>
          <w:szCs w:val="24"/>
        </w:rPr>
        <w:t>一方变更项目联系人的，应当及时以书面形式通知另一方。未及时通知并影响本</w:t>
      </w:r>
      <w:r>
        <w:rPr>
          <w:rFonts w:hint="eastAsia" w:ascii="宋体" w:hAnsi="宋体" w:eastAsia="宋体" w:cs="宋体"/>
          <w:spacing w:val="10"/>
          <w:sz w:val="24"/>
          <w:szCs w:val="24"/>
        </w:rPr>
        <w:t xml:space="preserve"> </w:t>
      </w:r>
      <w:r>
        <w:rPr>
          <w:rFonts w:hint="eastAsia" w:ascii="宋体" w:hAnsi="宋体" w:eastAsia="宋体" w:cs="宋体"/>
          <w:sz w:val="24"/>
          <w:szCs w:val="24"/>
        </w:rPr>
        <w:t>合同履行或造成损失的，应承担相应的责任。</w:t>
      </w:r>
    </w:p>
    <w:p w14:paraId="454B8D17">
      <w:pPr>
        <w:pStyle w:val="37"/>
        <w:spacing w:before="2" w:line="360" w:lineRule="auto"/>
        <w:ind w:right="274" w:firstLine="480" w:firstLineChars="200"/>
        <w:rPr>
          <w:rFonts w:hint="eastAsia" w:ascii="宋体" w:hAnsi="宋体" w:eastAsia="宋体" w:cs="宋体"/>
          <w:sz w:val="24"/>
          <w:szCs w:val="24"/>
        </w:rPr>
      </w:pPr>
      <w:r>
        <w:rPr>
          <w:rFonts w:hint="eastAsia" w:ascii="宋体" w:hAnsi="宋体" w:eastAsia="宋体" w:cs="宋体"/>
          <w:sz w:val="24"/>
          <w:szCs w:val="24"/>
        </w:rPr>
        <w:t>(三)双方确定，出现下列情形，致使本合同的履行成为不必要或不可能的，可</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以解除本合同：</w:t>
      </w:r>
    </w:p>
    <w:p w14:paraId="0344E59E">
      <w:pPr>
        <w:pStyle w:val="37"/>
        <w:spacing w:before="1" w:line="360" w:lineRule="auto"/>
        <w:ind w:left="604"/>
        <w:rPr>
          <w:rFonts w:hint="eastAsia" w:ascii="宋体" w:hAnsi="宋体" w:eastAsia="宋体" w:cs="宋体"/>
          <w:sz w:val="24"/>
          <w:szCs w:val="24"/>
        </w:rPr>
      </w:pPr>
      <w:r>
        <w:rPr>
          <w:rFonts w:hint="eastAsia" w:ascii="宋体" w:hAnsi="宋体" w:eastAsia="宋体" w:cs="宋体"/>
          <w:spacing w:val="2"/>
          <w:sz w:val="24"/>
          <w:szCs w:val="24"/>
        </w:rPr>
        <w:t>1.发生不可抗力</w:t>
      </w:r>
    </w:p>
    <w:p w14:paraId="70E21DD8">
      <w:pPr>
        <w:pStyle w:val="37"/>
        <w:spacing w:before="82" w:line="360" w:lineRule="auto"/>
        <w:ind w:left="585"/>
        <w:rPr>
          <w:rFonts w:hint="eastAsia" w:ascii="宋体" w:hAnsi="宋体" w:eastAsia="宋体" w:cs="宋体"/>
          <w:sz w:val="24"/>
          <w:szCs w:val="24"/>
        </w:rPr>
      </w:pPr>
      <w:r>
        <w:rPr>
          <w:rFonts w:hint="eastAsia" w:ascii="宋体" w:hAnsi="宋体" w:eastAsia="宋体" w:cs="宋体"/>
          <w:spacing w:val="1"/>
          <w:sz w:val="24"/>
          <w:szCs w:val="24"/>
        </w:rPr>
        <w:t>2.其他不可抗拒的因素</w:t>
      </w:r>
    </w:p>
    <w:p w14:paraId="3797B94F">
      <w:pPr>
        <w:pStyle w:val="37"/>
        <w:spacing w:before="173"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(四)本合同一式</w:t>
      </w:r>
      <w:r>
        <w:rPr>
          <w:rFonts w:hint="eastAsia" w:ascii="宋体" w:hAnsi="宋体" w:eastAsia="宋体" w:cs="宋体"/>
          <w:spacing w:val="128"/>
          <w:sz w:val="24"/>
          <w:szCs w:val="24"/>
          <w:u w:val="single" w:color="auto"/>
        </w:rPr>
        <w:t xml:space="preserve"> </w:t>
      </w:r>
      <w:r>
        <w:rPr>
          <w:rFonts w:hint="eastAsia" w:ascii="宋体" w:hAnsi="宋体" w:eastAsia="宋体" w:cs="宋体"/>
          <w:sz w:val="24"/>
          <w:szCs w:val="24"/>
          <w:u w:val="single" w:color="auto"/>
        </w:rPr>
        <w:t>叁</w:t>
      </w:r>
      <w:r>
        <w:rPr>
          <w:rFonts w:hint="eastAsia" w:ascii="宋体" w:hAnsi="宋体" w:eastAsia="宋体" w:cs="宋体"/>
          <w:spacing w:val="55"/>
          <w:sz w:val="24"/>
          <w:szCs w:val="24"/>
          <w:u w:val="single" w:color="auto"/>
        </w:rPr>
        <w:t xml:space="preserve">  </w:t>
      </w:r>
      <w:r>
        <w:rPr>
          <w:rFonts w:hint="eastAsia" w:ascii="宋体" w:hAnsi="宋体" w:eastAsia="宋体" w:cs="宋体"/>
          <w:sz w:val="24"/>
          <w:szCs w:val="24"/>
        </w:rPr>
        <w:t>份，甲方贰份，乙方壹份，具有同等法律效力。</w:t>
      </w:r>
    </w:p>
    <w:p w14:paraId="22F7B36A">
      <w:pPr>
        <w:pStyle w:val="37"/>
        <w:spacing w:before="32" w:line="360" w:lineRule="auto"/>
        <w:ind w:right="135" w:firstLine="480" w:firstLineChars="200"/>
        <w:jc w:val="both"/>
        <w:rPr>
          <w:rFonts w:hint="eastAsia" w:ascii="宋体" w:hAnsi="宋体" w:eastAsia="宋体" w:cs="宋体"/>
          <w:sz w:val="24"/>
          <w:szCs w:val="24"/>
        </w:rPr>
      </w:pPr>
      <w:r>
        <w:rPr>
          <w:rFonts w:hint="eastAsia" w:ascii="宋体" w:hAnsi="宋体" w:eastAsia="宋体" w:cs="宋体"/>
          <w:sz w:val="24"/>
          <w:szCs w:val="24"/>
        </w:rPr>
        <w:t>(五)本合同经双方签字盖章后生效。</w:t>
      </w:r>
    </w:p>
    <w:p w14:paraId="37F48EE2">
      <w:pPr>
        <w:pStyle w:val="37"/>
        <w:spacing w:before="32" w:line="360" w:lineRule="auto"/>
        <w:ind w:right="135" w:firstLine="480" w:firstLineChars="200"/>
        <w:jc w:val="both"/>
        <w:rPr>
          <w:rFonts w:hint="eastAsia" w:ascii="宋体" w:hAnsi="宋体" w:eastAsia="宋体" w:cs="宋体"/>
          <w:sz w:val="24"/>
          <w:szCs w:val="24"/>
        </w:rPr>
      </w:pPr>
    </w:p>
    <w:p w14:paraId="7BAB7C48">
      <w:pPr>
        <w:pStyle w:val="37"/>
        <w:spacing w:before="32" w:line="359" w:lineRule="auto"/>
        <w:ind w:right="135" w:firstLine="480" w:firstLineChars="200"/>
        <w:jc w:val="both"/>
        <w:rPr>
          <w:rFonts w:hint="eastAsia" w:ascii="宋体" w:hAnsi="宋体" w:eastAsia="宋体" w:cs="宋体"/>
          <w:sz w:val="24"/>
          <w:szCs w:val="24"/>
        </w:rPr>
      </w:pPr>
    </w:p>
    <w:p w14:paraId="5C261F2B">
      <w:pPr>
        <w:pStyle w:val="37"/>
        <w:spacing w:before="32" w:line="359" w:lineRule="auto"/>
        <w:ind w:right="135" w:firstLine="480" w:firstLineChars="200"/>
        <w:jc w:val="both"/>
        <w:rPr>
          <w:rFonts w:hint="eastAsia" w:ascii="宋体" w:hAnsi="宋体" w:eastAsia="宋体" w:cs="宋体"/>
          <w:sz w:val="24"/>
          <w:szCs w:val="24"/>
        </w:rPr>
      </w:pPr>
    </w:p>
    <w:p w14:paraId="28FA0706">
      <w:pPr>
        <w:pStyle w:val="37"/>
        <w:spacing w:before="32" w:line="359" w:lineRule="auto"/>
        <w:ind w:right="135" w:firstLine="480" w:firstLineChars="200"/>
        <w:jc w:val="both"/>
        <w:rPr>
          <w:rFonts w:hint="eastAsia" w:ascii="宋体" w:hAnsi="宋体" w:eastAsia="宋体" w:cs="宋体"/>
          <w:sz w:val="24"/>
          <w:szCs w:val="24"/>
        </w:rPr>
      </w:pPr>
    </w:p>
    <w:p w14:paraId="17E53B70">
      <w:pPr>
        <w:pStyle w:val="37"/>
        <w:spacing w:before="32" w:line="359" w:lineRule="auto"/>
        <w:ind w:right="135" w:firstLine="480" w:firstLineChars="200"/>
        <w:jc w:val="both"/>
        <w:rPr>
          <w:rFonts w:hint="eastAsia" w:ascii="宋体" w:hAnsi="宋体" w:eastAsia="宋体" w:cs="宋体"/>
          <w:sz w:val="24"/>
          <w:szCs w:val="24"/>
        </w:rPr>
      </w:pPr>
    </w:p>
    <w:p w14:paraId="5C364E69">
      <w:pPr>
        <w:pStyle w:val="37"/>
        <w:spacing w:before="32" w:line="359" w:lineRule="auto"/>
        <w:ind w:right="135" w:firstLine="480" w:firstLineChars="200"/>
        <w:jc w:val="both"/>
        <w:rPr>
          <w:rFonts w:hint="eastAsia" w:ascii="宋体" w:hAnsi="宋体" w:eastAsia="宋体" w:cs="宋体"/>
          <w:sz w:val="24"/>
          <w:szCs w:val="24"/>
        </w:rPr>
      </w:pPr>
    </w:p>
    <w:p w14:paraId="26CCB132">
      <w:pPr>
        <w:pStyle w:val="37"/>
        <w:spacing w:before="32" w:line="359" w:lineRule="auto"/>
        <w:ind w:right="135" w:firstLine="480" w:firstLineChars="200"/>
        <w:jc w:val="both"/>
        <w:rPr>
          <w:rFonts w:hint="eastAsia" w:ascii="宋体" w:hAnsi="宋体" w:eastAsia="宋体" w:cs="宋体"/>
          <w:sz w:val="24"/>
          <w:szCs w:val="24"/>
        </w:rPr>
      </w:pPr>
    </w:p>
    <w:p w14:paraId="43BDAF11">
      <w:pPr>
        <w:pStyle w:val="37"/>
        <w:spacing w:before="32" w:line="359" w:lineRule="auto"/>
        <w:ind w:right="135" w:firstLine="480" w:firstLineChars="200"/>
        <w:jc w:val="both"/>
        <w:rPr>
          <w:rFonts w:hint="eastAsia" w:ascii="宋体" w:hAnsi="宋体" w:eastAsia="宋体" w:cs="宋体"/>
          <w:sz w:val="24"/>
          <w:szCs w:val="24"/>
        </w:rPr>
      </w:pPr>
    </w:p>
    <w:p w14:paraId="2A576A02">
      <w:pPr>
        <w:pStyle w:val="37"/>
        <w:spacing w:before="32" w:line="359" w:lineRule="auto"/>
        <w:ind w:right="135" w:firstLine="480" w:firstLineChars="200"/>
        <w:jc w:val="both"/>
        <w:rPr>
          <w:rFonts w:hint="eastAsia" w:ascii="宋体" w:hAnsi="宋体" w:eastAsia="宋体" w:cs="宋体"/>
          <w:sz w:val="24"/>
          <w:szCs w:val="24"/>
        </w:rPr>
      </w:pPr>
    </w:p>
    <w:p w14:paraId="03154F38">
      <w:pPr>
        <w:pStyle w:val="37"/>
        <w:spacing w:before="32" w:line="359" w:lineRule="auto"/>
        <w:ind w:right="135" w:firstLine="480" w:firstLineChars="200"/>
        <w:jc w:val="both"/>
        <w:rPr>
          <w:rFonts w:hint="eastAsia" w:ascii="宋体" w:hAnsi="宋体" w:eastAsia="宋体" w:cs="宋体"/>
          <w:sz w:val="24"/>
          <w:szCs w:val="24"/>
        </w:rPr>
      </w:pPr>
    </w:p>
    <w:p w14:paraId="6717D6B3">
      <w:pPr>
        <w:pStyle w:val="37"/>
        <w:spacing w:before="32" w:line="359" w:lineRule="auto"/>
        <w:ind w:right="135" w:firstLine="480" w:firstLineChars="200"/>
        <w:jc w:val="both"/>
        <w:rPr>
          <w:rFonts w:hint="eastAsia" w:ascii="宋体" w:hAnsi="宋体" w:eastAsia="宋体" w:cs="宋体"/>
          <w:sz w:val="24"/>
          <w:szCs w:val="24"/>
        </w:rPr>
      </w:pPr>
    </w:p>
    <w:p w14:paraId="5E7EB290">
      <w:pPr>
        <w:pStyle w:val="37"/>
        <w:spacing w:before="32" w:line="359" w:lineRule="auto"/>
        <w:ind w:right="135" w:firstLine="480" w:firstLineChars="200"/>
        <w:jc w:val="both"/>
        <w:rPr>
          <w:rFonts w:hint="eastAsia" w:ascii="宋体" w:hAnsi="宋体" w:eastAsia="宋体" w:cs="宋体"/>
          <w:sz w:val="24"/>
          <w:szCs w:val="24"/>
        </w:rPr>
      </w:pPr>
    </w:p>
    <w:p w14:paraId="355E0DD4">
      <w:pPr>
        <w:pStyle w:val="37"/>
        <w:spacing w:before="32" w:line="359" w:lineRule="auto"/>
        <w:ind w:right="135" w:firstLine="480" w:firstLineChars="200"/>
        <w:jc w:val="both"/>
        <w:rPr>
          <w:rFonts w:hint="eastAsia" w:ascii="宋体" w:hAnsi="宋体" w:eastAsia="宋体" w:cs="宋体"/>
          <w:sz w:val="24"/>
          <w:szCs w:val="24"/>
        </w:rPr>
      </w:pPr>
    </w:p>
    <w:p w14:paraId="23621252">
      <w:pPr>
        <w:pStyle w:val="37"/>
        <w:spacing w:before="32" w:line="359" w:lineRule="auto"/>
        <w:ind w:right="135" w:firstLine="480" w:firstLineChars="200"/>
        <w:jc w:val="both"/>
        <w:rPr>
          <w:rFonts w:hint="eastAsia" w:ascii="宋体" w:hAnsi="宋体" w:eastAsia="宋体" w:cs="宋体"/>
          <w:sz w:val="24"/>
          <w:szCs w:val="24"/>
        </w:rPr>
      </w:pPr>
    </w:p>
    <w:p w14:paraId="7CAC7F12">
      <w:pPr>
        <w:pStyle w:val="37"/>
        <w:spacing w:before="32" w:line="359" w:lineRule="auto"/>
        <w:ind w:right="135" w:firstLine="480" w:firstLineChars="200"/>
        <w:jc w:val="both"/>
        <w:rPr>
          <w:rFonts w:hint="eastAsia" w:ascii="宋体" w:hAnsi="宋体" w:eastAsia="宋体" w:cs="宋体"/>
          <w:sz w:val="24"/>
          <w:szCs w:val="24"/>
        </w:rPr>
      </w:pPr>
    </w:p>
    <w:p w14:paraId="1684100B">
      <w:pPr>
        <w:pStyle w:val="37"/>
        <w:spacing w:before="32" w:line="359" w:lineRule="auto"/>
        <w:ind w:right="135" w:firstLine="480" w:firstLineChars="200"/>
        <w:jc w:val="both"/>
        <w:rPr>
          <w:rFonts w:hint="eastAsia" w:ascii="宋体" w:hAnsi="宋体" w:eastAsia="宋体" w:cs="宋体"/>
          <w:sz w:val="24"/>
          <w:szCs w:val="24"/>
        </w:rPr>
      </w:pPr>
    </w:p>
    <w:p w14:paraId="0B311D9A">
      <w:pPr>
        <w:pStyle w:val="37"/>
        <w:spacing w:before="32" w:line="359" w:lineRule="auto"/>
        <w:ind w:right="135" w:firstLine="480" w:firstLineChars="200"/>
        <w:jc w:val="both"/>
        <w:rPr>
          <w:rFonts w:hint="eastAsia" w:ascii="宋体" w:hAnsi="宋体" w:eastAsia="宋体" w:cs="宋体"/>
          <w:sz w:val="24"/>
          <w:szCs w:val="24"/>
        </w:rPr>
      </w:pPr>
    </w:p>
    <w:p w14:paraId="0B88AFF8">
      <w:pPr>
        <w:pStyle w:val="37"/>
        <w:spacing w:before="32" w:line="359" w:lineRule="auto"/>
        <w:ind w:right="135" w:firstLine="480" w:firstLineChars="200"/>
        <w:jc w:val="both"/>
        <w:rPr>
          <w:rFonts w:hint="eastAsia" w:ascii="宋体" w:hAnsi="宋体" w:eastAsia="宋体" w:cs="宋体"/>
          <w:sz w:val="24"/>
          <w:szCs w:val="24"/>
        </w:rPr>
      </w:pPr>
    </w:p>
    <w:tbl>
      <w:tblPr>
        <w:tblStyle w:val="36"/>
        <w:tblW w:w="85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4"/>
        <w:gridCol w:w="1688"/>
        <w:gridCol w:w="2007"/>
        <w:gridCol w:w="1009"/>
        <w:gridCol w:w="989"/>
        <w:gridCol w:w="999"/>
        <w:gridCol w:w="1257"/>
      </w:tblGrid>
      <w:tr w14:paraId="78C94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594" w:type="dxa"/>
            <w:vMerge w:val="restart"/>
            <w:tcBorders>
              <w:bottom w:val="nil"/>
            </w:tcBorders>
            <w:textDirection w:val="tbRlV"/>
            <w:vAlign w:val="center"/>
          </w:tcPr>
          <w:p w14:paraId="10DF841A">
            <w:pPr>
              <w:pStyle w:val="37"/>
              <w:spacing w:before="178" w:line="203" w:lineRule="auto"/>
              <w:jc w:val="center"/>
              <w:rPr>
                <w:sz w:val="25"/>
                <w:szCs w:val="25"/>
              </w:rPr>
            </w:pPr>
            <w:r>
              <w:rPr>
                <w:spacing w:val="29"/>
                <w:sz w:val="25"/>
                <w:szCs w:val="25"/>
              </w:rPr>
              <w:t>委 托</w:t>
            </w:r>
            <w:r>
              <w:rPr>
                <w:spacing w:val="6"/>
                <w:sz w:val="25"/>
                <w:szCs w:val="25"/>
              </w:rPr>
              <w:t xml:space="preserve"> </w:t>
            </w:r>
            <w:r>
              <w:rPr>
                <w:spacing w:val="29"/>
                <w:sz w:val="25"/>
                <w:szCs w:val="25"/>
              </w:rPr>
              <w:t>方</w:t>
            </w:r>
            <w:r>
              <w:rPr>
                <w:spacing w:val="7"/>
                <w:sz w:val="25"/>
                <w:szCs w:val="25"/>
              </w:rPr>
              <w:t xml:space="preserve"> </w:t>
            </w:r>
            <w:r>
              <w:rPr>
                <w:spacing w:val="29"/>
                <w:sz w:val="25"/>
                <w:szCs w:val="25"/>
              </w:rPr>
              <w:t>(</w:t>
            </w:r>
            <w:r>
              <w:rPr>
                <w:spacing w:val="15"/>
                <w:sz w:val="25"/>
                <w:szCs w:val="25"/>
              </w:rPr>
              <w:t xml:space="preserve"> </w:t>
            </w:r>
            <w:r>
              <w:rPr>
                <w:spacing w:val="29"/>
                <w:sz w:val="25"/>
                <w:szCs w:val="25"/>
              </w:rPr>
              <w:t>甲</w:t>
            </w:r>
            <w:r>
              <w:rPr>
                <w:spacing w:val="7"/>
                <w:sz w:val="25"/>
                <w:szCs w:val="25"/>
              </w:rPr>
              <w:t xml:space="preserve"> </w:t>
            </w:r>
            <w:r>
              <w:rPr>
                <w:spacing w:val="29"/>
                <w:sz w:val="25"/>
                <w:szCs w:val="25"/>
              </w:rPr>
              <w:t>方</w:t>
            </w:r>
            <w:r>
              <w:rPr>
                <w:spacing w:val="7"/>
                <w:sz w:val="25"/>
                <w:szCs w:val="25"/>
              </w:rPr>
              <w:t xml:space="preserve"> </w:t>
            </w:r>
            <w:r>
              <w:rPr>
                <w:spacing w:val="29"/>
                <w:sz w:val="25"/>
                <w:szCs w:val="25"/>
              </w:rPr>
              <w:t>)</w:t>
            </w:r>
          </w:p>
        </w:tc>
        <w:tc>
          <w:tcPr>
            <w:tcW w:w="1688" w:type="dxa"/>
            <w:vAlign w:val="center"/>
          </w:tcPr>
          <w:p w14:paraId="6815AD2C">
            <w:pPr>
              <w:pStyle w:val="37"/>
              <w:spacing w:before="275" w:line="219" w:lineRule="auto"/>
              <w:ind w:left="80"/>
              <w:jc w:val="center"/>
              <w:rPr>
                <w:sz w:val="25"/>
                <w:szCs w:val="25"/>
              </w:rPr>
            </w:pPr>
            <w:r>
              <w:rPr>
                <w:spacing w:val="7"/>
                <w:sz w:val="25"/>
                <w:szCs w:val="25"/>
              </w:rPr>
              <w:t>名称(或姓名)</w:t>
            </w:r>
          </w:p>
        </w:tc>
        <w:tc>
          <w:tcPr>
            <w:tcW w:w="5004" w:type="dxa"/>
            <w:gridSpan w:val="4"/>
            <w:vAlign w:val="center"/>
          </w:tcPr>
          <w:p w14:paraId="79EBD209">
            <w:pPr>
              <w:pStyle w:val="37"/>
              <w:spacing w:before="264" w:line="219" w:lineRule="auto"/>
              <w:ind w:left="212"/>
              <w:jc w:val="center"/>
              <w:rPr>
                <w:sz w:val="25"/>
                <w:szCs w:val="25"/>
              </w:rPr>
            </w:pPr>
            <w:r>
              <w:rPr>
                <w:rFonts w:hint="eastAsia"/>
                <w:spacing w:val="1"/>
                <w:sz w:val="25"/>
                <w:szCs w:val="25"/>
                <w:lang w:eastAsia="zh-CN"/>
              </w:rPr>
              <w:t>江苏江苏盱眙经济开发区管理委员会</w:t>
            </w:r>
            <w:r>
              <w:rPr>
                <w:spacing w:val="1"/>
                <w:sz w:val="25"/>
                <w:szCs w:val="25"/>
              </w:rPr>
              <w:t xml:space="preserve">   </w:t>
            </w:r>
            <w:r>
              <w:rPr>
                <w:spacing w:val="6"/>
                <w:sz w:val="25"/>
                <w:szCs w:val="25"/>
              </w:rPr>
              <w:t>(签章)</w:t>
            </w:r>
          </w:p>
        </w:tc>
        <w:tc>
          <w:tcPr>
            <w:tcW w:w="1257" w:type="dxa"/>
            <w:vMerge w:val="restart"/>
            <w:tcBorders>
              <w:bottom w:val="nil"/>
            </w:tcBorders>
            <w:vAlign w:val="center"/>
          </w:tcPr>
          <w:p w14:paraId="3F097829">
            <w:pPr>
              <w:pStyle w:val="37"/>
              <w:spacing w:before="35" w:line="236" w:lineRule="auto"/>
              <w:ind w:left="99" w:right="173"/>
              <w:jc w:val="center"/>
              <w:rPr>
                <w:sz w:val="25"/>
                <w:szCs w:val="25"/>
              </w:rPr>
            </w:pPr>
            <w:r>
              <w:rPr>
                <w:spacing w:val="5"/>
                <w:sz w:val="25"/>
                <w:szCs w:val="25"/>
              </w:rPr>
              <w:t>技术合同专用</w:t>
            </w:r>
            <w:r>
              <w:rPr>
                <w:sz w:val="25"/>
                <w:szCs w:val="25"/>
              </w:rPr>
              <w:t xml:space="preserve"> </w:t>
            </w:r>
            <w:r>
              <w:rPr>
                <w:spacing w:val="5"/>
                <w:sz w:val="25"/>
                <w:szCs w:val="25"/>
              </w:rPr>
              <w:t>章或</w:t>
            </w:r>
          </w:p>
          <w:p w14:paraId="701A5E0A">
            <w:pPr>
              <w:pStyle w:val="37"/>
              <w:spacing w:line="218" w:lineRule="auto"/>
              <w:ind w:left="99"/>
              <w:jc w:val="center"/>
              <w:rPr>
                <w:sz w:val="25"/>
                <w:szCs w:val="25"/>
              </w:rPr>
            </w:pPr>
            <w:r>
              <w:rPr>
                <w:spacing w:val="4"/>
                <w:sz w:val="25"/>
                <w:szCs w:val="25"/>
              </w:rPr>
              <w:t>单位公章</w:t>
            </w:r>
          </w:p>
        </w:tc>
      </w:tr>
      <w:tr w14:paraId="094B0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594" w:type="dxa"/>
            <w:vMerge w:val="continue"/>
            <w:tcBorders>
              <w:top w:val="nil"/>
              <w:bottom w:val="nil"/>
            </w:tcBorders>
            <w:textDirection w:val="tbRlV"/>
            <w:vAlign w:val="center"/>
          </w:tcPr>
          <w:p w14:paraId="56BE91F1">
            <w:pPr>
              <w:jc w:val="center"/>
              <w:rPr>
                <w:rFonts w:ascii="Arial"/>
                <w:sz w:val="21"/>
              </w:rPr>
            </w:pPr>
          </w:p>
        </w:tc>
        <w:tc>
          <w:tcPr>
            <w:tcW w:w="1688" w:type="dxa"/>
            <w:vAlign w:val="center"/>
          </w:tcPr>
          <w:p w14:paraId="1981AA49">
            <w:pPr>
              <w:pStyle w:val="37"/>
              <w:spacing w:before="261" w:line="219" w:lineRule="auto"/>
              <w:ind w:left="80"/>
              <w:jc w:val="center"/>
              <w:rPr>
                <w:sz w:val="25"/>
                <w:szCs w:val="25"/>
              </w:rPr>
            </w:pPr>
            <w:r>
              <w:rPr>
                <w:spacing w:val="2"/>
                <w:sz w:val="25"/>
                <w:szCs w:val="25"/>
              </w:rPr>
              <w:t>法定代表人</w:t>
            </w:r>
          </w:p>
        </w:tc>
        <w:tc>
          <w:tcPr>
            <w:tcW w:w="5004" w:type="dxa"/>
            <w:gridSpan w:val="4"/>
            <w:vAlign w:val="center"/>
          </w:tcPr>
          <w:p w14:paraId="48987FED">
            <w:pPr>
              <w:pStyle w:val="37"/>
              <w:spacing w:before="259" w:line="219" w:lineRule="auto"/>
              <w:ind w:left="4132"/>
              <w:jc w:val="center"/>
              <w:rPr>
                <w:sz w:val="25"/>
                <w:szCs w:val="25"/>
              </w:rPr>
            </w:pPr>
            <w:r>
              <w:rPr>
                <w:spacing w:val="13"/>
                <w:sz w:val="25"/>
                <w:szCs w:val="25"/>
              </w:rPr>
              <w:t>(签章)</w:t>
            </w:r>
          </w:p>
        </w:tc>
        <w:tc>
          <w:tcPr>
            <w:tcW w:w="1257" w:type="dxa"/>
            <w:vMerge w:val="continue"/>
            <w:tcBorders>
              <w:top w:val="nil"/>
              <w:bottom w:val="nil"/>
            </w:tcBorders>
            <w:vAlign w:val="center"/>
          </w:tcPr>
          <w:p w14:paraId="29D10297">
            <w:pPr>
              <w:jc w:val="center"/>
              <w:rPr>
                <w:rFonts w:ascii="Arial"/>
                <w:sz w:val="21"/>
              </w:rPr>
            </w:pPr>
          </w:p>
        </w:tc>
      </w:tr>
      <w:tr w14:paraId="3A2EA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594" w:type="dxa"/>
            <w:vMerge w:val="continue"/>
            <w:tcBorders>
              <w:top w:val="nil"/>
              <w:bottom w:val="nil"/>
            </w:tcBorders>
            <w:textDirection w:val="tbRlV"/>
            <w:vAlign w:val="center"/>
          </w:tcPr>
          <w:p w14:paraId="4B627F17">
            <w:pPr>
              <w:jc w:val="center"/>
              <w:rPr>
                <w:rFonts w:ascii="Arial"/>
                <w:sz w:val="21"/>
              </w:rPr>
            </w:pPr>
          </w:p>
        </w:tc>
        <w:tc>
          <w:tcPr>
            <w:tcW w:w="1688" w:type="dxa"/>
            <w:vAlign w:val="center"/>
          </w:tcPr>
          <w:p w14:paraId="39D190CA">
            <w:pPr>
              <w:pStyle w:val="37"/>
              <w:spacing w:before="271" w:line="219" w:lineRule="auto"/>
              <w:ind w:left="80"/>
              <w:jc w:val="center"/>
              <w:rPr>
                <w:sz w:val="25"/>
                <w:szCs w:val="25"/>
              </w:rPr>
            </w:pPr>
            <w:r>
              <w:rPr>
                <w:spacing w:val="-2"/>
                <w:sz w:val="25"/>
                <w:szCs w:val="25"/>
              </w:rPr>
              <w:t>委托代理人</w:t>
            </w:r>
          </w:p>
        </w:tc>
        <w:tc>
          <w:tcPr>
            <w:tcW w:w="5004" w:type="dxa"/>
            <w:gridSpan w:val="4"/>
            <w:vAlign w:val="center"/>
          </w:tcPr>
          <w:p w14:paraId="08AA33AF">
            <w:pPr>
              <w:pStyle w:val="37"/>
              <w:spacing w:before="269" w:line="219" w:lineRule="auto"/>
              <w:ind w:left="4132"/>
              <w:jc w:val="center"/>
              <w:rPr>
                <w:sz w:val="25"/>
                <w:szCs w:val="25"/>
              </w:rPr>
            </w:pPr>
            <w:r>
              <w:rPr>
                <w:spacing w:val="13"/>
                <w:sz w:val="25"/>
                <w:szCs w:val="25"/>
              </w:rPr>
              <w:t>(签章)</w:t>
            </w:r>
          </w:p>
        </w:tc>
        <w:tc>
          <w:tcPr>
            <w:tcW w:w="1257" w:type="dxa"/>
            <w:vMerge w:val="continue"/>
            <w:tcBorders>
              <w:top w:val="nil"/>
              <w:bottom w:val="nil"/>
            </w:tcBorders>
            <w:vAlign w:val="center"/>
          </w:tcPr>
          <w:p w14:paraId="4C80F211">
            <w:pPr>
              <w:jc w:val="center"/>
              <w:rPr>
                <w:rFonts w:ascii="Arial"/>
                <w:sz w:val="21"/>
              </w:rPr>
            </w:pPr>
          </w:p>
        </w:tc>
      </w:tr>
      <w:tr w14:paraId="49762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594" w:type="dxa"/>
            <w:vMerge w:val="continue"/>
            <w:tcBorders>
              <w:top w:val="nil"/>
              <w:bottom w:val="nil"/>
            </w:tcBorders>
            <w:textDirection w:val="tbRlV"/>
            <w:vAlign w:val="center"/>
          </w:tcPr>
          <w:p w14:paraId="6B697341">
            <w:pPr>
              <w:jc w:val="center"/>
              <w:rPr>
                <w:rFonts w:ascii="Arial"/>
                <w:sz w:val="21"/>
              </w:rPr>
            </w:pPr>
          </w:p>
        </w:tc>
        <w:tc>
          <w:tcPr>
            <w:tcW w:w="1688" w:type="dxa"/>
            <w:vAlign w:val="center"/>
          </w:tcPr>
          <w:p w14:paraId="0416CC09">
            <w:pPr>
              <w:pStyle w:val="37"/>
              <w:spacing w:before="162" w:line="228" w:lineRule="auto"/>
              <w:ind w:left="80" w:right="292"/>
              <w:jc w:val="center"/>
              <w:rPr>
                <w:sz w:val="25"/>
                <w:szCs w:val="25"/>
              </w:rPr>
            </w:pPr>
            <w:r>
              <w:rPr>
                <w:spacing w:val="9"/>
                <w:sz w:val="25"/>
                <w:szCs w:val="25"/>
              </w:rPr>
              <w:t>联系(经办)</w:t>
            </w:r>
            <w:r>
              <w:rPr>
                <w:sz w:val="25"/>
                <w:szCs w:val="25"/>
              </w:rPr>
              <w:t xml:space="preserve"> 人</w:t>
            </w:r>
          </w:p>
        </w:tc>
        <w:tc>
          <w:tcPr>
            <w:tcW w:w="5004" w:type="dxa"/>
            <w:gridSpan w:val="4"/>
            <w:vAlign w:val="center"/>
          </w:tcPr>
          <w:p w14:paraId="5C87DFB2">
            <w:pPr>
              <w:pStyle w:val="37"/>
              <w:spacing w:before="280" w:line="219" w:lineRule="auto"/>
              <w:ind w:left="4132"/>
              <w:jc w:val="center"/>
              <w:rPr>
                <w:sz w:val="25"/>
                <w:szCs w:val="25"/>
              </w:rPr>
            </w:pPr>
            <w:r>
              <w:rPr>
                <w:spacing w:val="13"/>
                <w:sz w:val="25"/>
                <w:szCs w:val="25"/>
              </w:rPr>
              <w:t>(签章)</w:t>
            </w:r>
          </w:p>
        </w:tc>
        <w:tc>
          <w:tcPr>
            <w:tcW w:w="1257" w:type="dxa"/>
            <w:vMerge w:val="continue"/>
            <w:tcBorders>
              <w:top w:val="nil"/>
              <w:bottom w:val="nil"/>
            </w:tcBorders>
            <w:vAlign w:val="center"/>
          </w:tcPr>
          <w:p w14:paraId="7875DA1A">
            <w:pPr>
              <w:jc w:val="center"/>
              <w:rPr>
                <w:rFonts w:ascii="Arial"/>
                <w:sz w:val="21"/>
              </w:rPr>
            </w:pPr>
          </w:p>
        </w:tc>
      </w:tr>
      <w:tr w14:paraId="39CC0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594" w:type="dxa"/>
            <w:vMerge w:val="continue"/>
            <w:tcBorders>
              <w:top w:val="nil"/>
              <w:bottom w:val="nil"/>
            </w:tcBorders>
            <w:textDirection w:val="tbRlV"/>
            <w:vAlign w:val="center"/>
          </w:tcPr>
          <w:p w14:paraId="19359A4D">
            <w:pPr>
              <w:jc w:val="center"/>
              <w:rPr>
                <w:rFonts w:ascii="Arial"/>
                <w:sz w:val="21"/>
              </w:rPr>
            </w:pPr>
          </w:p>
        </w:tc>
        <w:tc>
          <w:tcPr>
            <w:tcW w:w="1688" w:type="dxa"/>
            <w:vAlign w:val="center"/>
          </w:tcPr>
          <w:p w14:paraId="67921908">
            <w:pPr>
              <w:pStyle w:val="37"/>
              <w:spacing w:before="223" w:line="220" w:lineRule="auto"/>
              <w:ind w:left="80"/>
              <w:jc w:val="center"/>
              <w:rPr>
                <w:sz w:val="25"/>
                <w:szCs w:val="25"/>
              </w:rPr>
            </w:pPr>
            <w:r>
              <w:rPr>
                <w:spacing w:val="-5"/>
                <w:sz w:val="25"/>
                <w:szCs w:val="25"/>
              </w:rPr>
              <w:t>住</w:t>
            </w:r>
            <w:r>
              <w:rPr>
                <w:spacing w:val="37"/>
                <w:sz w:val="25"/>
                <w:szCs w:val="25"/>
              </w:rPr>
              <w:t xml:space="preserve">   </w:t>
            </w:r>
            <w:r>
              <w:rPr>
                <w:spacing w:val="-5"/>
                <w:sz w:val="25"/>
                <w:szCs w:val="25"/>
              </w:rPr>
              <w:t>所</w:t>
            </w:r>
          </w:p>
          <w:p w14:paraId="36982096">
            <w:pPr>
              <w:pStyle w:val="37"/>
              <w:spacing w:before="25" w:line="222" w:lineRule="auto"/>
              <w:ind w:left="201"/>
              <w:jc w:val="center"/>
              <w:rPr>
                <w:sz w:val="25"/>
                <w:szCs w:val="25"/>
              </w:rPr>
            </w:pPr>
            <w:r>
              <w:rPr>
                <w:spacing w:val="9"/>
                <w:sz w:val="25"/>
                <w:szCs w:val="25"/>
              </w:rPr>
              <w:t>(通讯地址)</w:t>
            </w:r>
          </w:p>
        </w:tc>
        <w:tc>
          <w:tcPr>
            <w:tcW w:w="3016" w:type="dxa"/>
            <w:gridSpan w:val="2"/>
            <w:vAlign w:val="center"/>
          </w:tcPr>
          <w:p w14:paraId="31CE42DF">
            <w:pPr>
              <w:jc w:val="center"/>
              <w:rPr>
                <w:rFonts w:ascii="Arial"/>
                <w:sz w:val="21"/>
              </w:rPr>
            </w:pPr>
          </w:p>
        </w:tc>
        <w:tc>
          <w:tcPr>
            <w:tcW w:w="989" w:type="dxa"/>
            <w:vAlign w:val="center"/>
          </w:tcPr>
          <w:p w14:paraId="5236152D">
            <w:pPr>
              <w:pStyle w:val="37"/>
              <w:spacing w:before="53" w:line="221" w:lineRule="auto"/>
              <w:ind w:left="76"/>
              <w:jc w:val="center"/>
              <w:rPr>
                <w:sz w:val="25"/>
                <w:szCs w:val="25"/>
              </w:rPr>
            </w:pPr>
            <w:r>
              <w:rPr>
                <w:spacing w:val="5"/>
                <w:sz w:val="25"/>
                <w:szCs w:val="25"/>
              </w:rPr>
              <w:t>邮政</w:t>
            </w:r>
          </w:p>
          <w:p w14:paraId="16522897">
            <w:pPr>
              <w:pStyle w:val="37"/>
              <w:spacing w:before="9" w:line="219" w:lineRule="auto"/>
              <w:ind w:left="76"/>
              <w:jc w:val="center"/>
              <w:rPr>
                <w:sz w:val="25"/>
                <w:szCs w:val="25"/>
              </w:rPr>
            </w:pPr>
            <w:r>
              <w:rPr>
                <w:spacing w:val="6"/>
                <w:sz w:val="25"/>
                <w:szCs w:val="25"/>
              </w:rPr>
              <w:t>编码</w:t>
            </w:r>
          </w:p>
        </w:tc>
        <w:tc>
          <w:tcPr>
            <w:tcW w:w="999" w:type="dxa"/>
            <w:vAlign w:val="center"/>
          </w:tcPr>
          <w:p w14:paraId="42863536">
            <w:pPr>
              <w:jc w:val="center"/>
              <w:rPr>
                <w:rFonts w:ascii="Arial"/>
                <w:sz w:val="21"/>
              </w:rPr>
            </w:pPr>
          </w:p>
        </w:tc>
        <w:tc>
          <w:tcPr>
            <w:tcW w:w="1257" w:type="dxa"/>
            <w:vMerge w:val="continue"/>
            <w:tcBorders>
              <w:top w:val="nil"/>
              <w:bottom w:val="nil"/>
            </w:tcBorders>
            <w:vAlign w:val="center"/>
          </w:tcPr>
          <w:p w14:paraId="1AA6B266">
            <w:pPr>
              <w:jc w:val="center"/>
              <w:rPr>
                <w:rFonts w:ascii="Arial"/>
                <w:sz w:val="21"/>
              </w:rPr>
            </w:pPr>
          </w:p>
        </w:tc>
      </w:tr>
      <w:tr w14:paraId="0C205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594" w:type="dxa"/>
            <w:vMerge w:val="continue"/>
            <w:tcBorders>
              <w:top w:val="nil"/>
              <w:bottom w:val="nil"/>
            </w:tcBorders>
            <w:textDirection w:val="tbRlV"/>
            <w:vAlign w:val="center"/>
          </w:tcPr>
          <w:p w14:paraId="5A5AA1A9">
            <w:pPr>
              <w:jc w:val="center"/>
              <w:rPr>
                <w:rFonts w:ascii="Arial"/>
                <w:sz w:val="21"/>
              </w:rPr>
            </w:pPr>
          </w:p>
        </w:tc>
        <w:tc>
          <w:tcPr>
            <w:tcW w:w="1688" w:type="dxa"/>
            <w:vAlign w:val="center"/>
          </w:tcPr>
          <w:p w14:paraId="61234775">
            <w:pPr>
              <w:pStyle w:val="37"/>
              <w:spacing w:before="276" w:line="221" w:lineRule="auto"/>
              <w:ind w:left="80"/>
              <w:jc w:val="center"/>
              <w:rPr>
                <w:sz w:val="25"/>
                <w:szCs w:val="25"/>
              </w:rPr>
            </w:pPr>
            <w:r>
              <w:rPr>
                <w:spacing w:val="-20"/>
                <w:sz w:val="25"/>
                <w:szCs w:val="25"/>
              </w:rPr>
              <w:t>电</w:t>
            </w:r>
            <w:r>
              <w:rPr>
                <w:spacing w:val="29"/>
                <w:sz w:val="25"/>
                <w:szCs w:val="25"/>
              </w:rPr>
              <w:t xml:space="preserve">  </w:t>
            </w:r>
            <w:r>
              <w:rPr>
                <w:spacing w:val="-20"/>
                <w:sz w:val="25"/>
                <w:szCs w:val="25"/>
              </w:rPr>
              <w:t>话</w:t>
            </w:r>
          </w:p>
        </w:tc>
        <w:tc>
          <w:tcPr>
            <w:tcW w:w="2007" w:type="dxa"/>
            <w:vAlign w:val="center"/>
          </w:tcPr>
          <w:p w14:paraId="088EDBCC">
            <w:pPr>
              <w:jc w:val="center"/>
              <w:rPr>
                <w:rFonts w:ascii="Arial"/>
                <w:sz w:val="21"/>
              </w:rPr>
            </w:pPr>
          </w:p>
        </w:tc>
        <w:tc>
          <w:tcPr>
            <w:tcW w:w="1009" w:type="dxa"/>
            <w:vAlign w:val="center"/>
          </w:tcPr>
          <w:p w14:paraId="2149398A">
            <w:pPr>
              <w:pStyle w:val="37"/>
              <w:spacing w:before="271" w:line="219" w:lineRule="auto"/>
              <w:ind w:left="245"/>
              <w:jc w:val="center"/>
              <w:rPr>
                <w:sz w:val="25"/>
                <w:szCs w:val="25"/>
              </w:rPr>
            </w:pPr>
            <w:r>
              <w:rPr>
                <w:spacing w:val="-2"/>
                <w:sz w:val="25"/>
                <w:szCs w:val="25"/>
              </w:rPr>
              <w:t>传真</w:t>
            </w:r>
          </w:p>
        </w:tc>
        <w:tc>
          <w:tcPr>
            <w:tcW w:w="1988" w:type="dxa"/>
            <w:gridSpan w:val="2"/>
            <w:vAlign w:val="center"/>
          </w:tcPr>
          <w:p w14:paraId="09E86E61">
            <w:pPr>
              <w:jc w:val="center"/>
              <w:rPr>
                <w:rFonts w:ascii="Arial"/>
                <w:sz w:val="21"/>
              </w:rPr>
            </w:pPr>
          </w:p>
        </w:tc>
        <w:tc>
          <w:tcPr>
            <w:tcW w:w="1257" w:type="dxa"/>
            <w:vMerge w:val="continue"/>
            <w:tcBorders>
              <w:top w:val="nil"/>
              <w:bottom w:val="nil"/>
            </w:tcBorders>
            <w:vAlign w:val="center"/>
          </w:tcPr>
          <w:p w14:paraId="4599E4B8">
            <w:pPr>
              <w:jc w:val="center"/>
              <w:rPr>
                <w:rFonts w:ascii="Arial"/>
                <w:sz w:val="21"/>
              </w:rPr>
            </w:pPr>
          </w:p>
        </w:tc>
      </w:tr>
      <w:tr w14:paraId="090F8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594" w:type="dxa"/>
            <w:vMerge w:val="restart"/>
            <w:tcBorders>
              <w:bottom w:val="nil"/>
            </w:tcBorders>
            <w:textDirection w:val="tbRlV"/>
            <w:vAlign w:val="center"/>
          </w:tcPr>
          <w:p w14:paraId="4CF639EF">
            <w:pPr>
              <w:pStyle w:val="37"/>
              <w:spacing w:before="179" w:line="202" w:lineRule="auto"/>
              <w:jc w:val="center"/>
              <w:rPr>
                <w:sz w:val="25"/>
                <w:szCs w:val="25"/>
              </w:rPr>
            </w:pPr>
            <w:r>
              <w:rPr>
                <w:spacing w:val="22"/>
                <w:w w:val="117"/>
                <w:sz w:val="25"/>
                <w:szCs w:val="25"/>
              </w:rPr>
              <w:t>受</w:t>
            </w:r>
            <w:r>
              <w:rPr>
                <w:spacing w:val="-34"/>
                <w:sz w:val="25"/>
                <w:szCs w:val="25"/>
              </w:rPr>
              <w:t xml:space="preserve"> </w:t>
            </w:r>
            <w:r>
              <w:rPr>
                <w:spacing w:val="22"/>
                <w:w w:val="117"/>
                <w:sz w:val="25"/>
                <w:szCs w:val="25"/>
              </w:rPr>
              <w:t>托</w:t>
            </w:r>
            <w:r>
              <w:rPr>
                <w:spacing w:val="-34"/>
                <w:sz w:val="25"/>
                <w:szCs w:val="25"/>
              </w:rPr>
              <w:t xml:space="preserve"> </w:t>
            </w:r>
            <w:r>
              <w:rPr>
                <w:spacing w:val="22"/>
                <w:w w:val="117"/>
                <w:sz w:val="25"/>
                <w:szCs w:val="25"/>
              </w:rPr>
              <w:t>方(</w:t>
            </w:r>
            <w:r>
              <w:rPr>
                <w:spacing w:val="-24"/>
                <w:sz w:val="25"/>
                <w:szCs w:val="25"/>
              </w:rPr>
              <w:t xml:space="preserve"> </w:t>
            </w:r>
            <w:r>
              <w:rPr>
                <w:spacing w:val="22"/>
                <w:w w:val="117"/>
                <w:sz w:val="25"/>
                <w:szCs w:val="25"/>
              </w:rPr>
              <w:t>乙</w:t>
            </w:r>
            <w:r>
              <w:rPr>
                <w:spacing w:val="-33"/>
                <w:sz w:val="25"/>
                <w:szCs w:val="25"/>
              </w:rPr>
              <w:t xml:space="preserve"> </w:t>
            </w:r>
            <w:r>
              <w:rPr>
                <w:spacing w:val="22"/>
                <w:w w:val="117"/>
                <w:sz w:val="25"/>
                <w:szCs w:val="25"/>
              </w:rPr>
              <w:t>方)</w:t>
            </w:r>
          </w:p>
        </w:tc>
        <w:tc>
          <w:tcPr>
            <w:tcW w:w="1688" w:type="dxa"/>
            <w:vAlign w:val="center"/>
          </w:tcPr>
          <w:p w14:paraId="1649EDE0">
            <w:pPr>
              <w:pStyle w:val="37"/>
              <w:spacing w:before="305" w:line="219" w:lineRule="auto"/>
              <w:ind w:left="80"/>
              <w:jc w:val="center"/>
              <w:rPr>
                <w:sz w:val="25"/>
                <w:szCs w:val="25"/>
              </w:rPr>
            </w:pPr>
            <w:r>
              <w:rPr>
                <w:spacing w:val="7"/>
                <w:sz w:val="25"/>
                <w:szCs w:val="25"/>
              </w:rPr>
              <w:t>名称(或姓名)</w:t>
            </w:r>
          </w:p>
        </w:tc>
        <w:tc>
          <w:tcPr>
            <w:tcW w:w="5004" w:type="dxa"/>
            <w:gridSpan w:val="4"/>
            <w:vAlign w:val="center"/>
          </w:tcPr>
          <w:p w14:paraId="5E736E44">
            <w:pPr>
              <w:pStyle w:val="37"/>
              <w:spacing w:before="303" w:line="219" w:lineRule="auto"/>
              <w:ind w:left="102"/>
              <w:jc w:val="center"/>
              <w:rPr>
                <w:sz w:val="25"/>
                <w:szCs w:val="25"/>
              </w:rPr>
            </w:pPr>
          </w:p>
        </w:tc>
        <w:tc>
          <w:tcPr>
            <w:tcW w:w="1257" w:type="dxa"/>
            <w:vMerge w:val="restart"/>
            <w:tcBorders>
              <w:bottom w:val="nil"/>
            </w:tcBorders>
            <w:vAlign w:val="center"/>
          </w:tcPr>
          <w:p w14:paraId="5E79C0DB">
            <w:pPr>
              <w:spacing w:line="262" w:lineRule="auto"/>
              <w:jc w:val="center"/>
              <w:rPr>
                <w:rFonts w:ascii="Arial"/>
                <w:sz w:val="21"/>
              </w:rPr>
            </w:pPr>
          </w:p>
          <w:p w14:paraId="0D84DA2B">
            <w:pPr>
              <w:spacing w:line="263" w:lineRule="auto"/>
              <w:jc w:val="center"/>
              <w:rPr>
                <w:rFonts w:ascii="Arial"/>
                <w:sz w:val="21"/>
              </w:rPr>
            </w:pPr>
          </w:p>
          <w:p w14:paraId="6AD086F2">
            <w:pPr>
              <w:spacing w:line="263" w:lineRule="auto"/>
              <w:jc w:val="center"/>
              <w:rPr>
                <w:rFonts w:ascii="Arial"/>
                <w:sz w:val="21"/>
              </w:rPr>
            </w:pPr>
          </w:p>
          <w:p w14:paraId="1D343D86">
            <w:pPr>
              <w:spacing w:line="263" w:lineRule="auto"/>
              <w:jc w:val="center"/>
              <w:rPr>
                <w:rFonts w:ascii="Arial"/>
                <w:sz w:val="21"/>
              </w:rPr>
            </w:pPr>
          </w:p>
          <w:p w14:paraId="25046D96">
            <w:pPr>
              <w:spacing w:line="263" w:lineRule="auto"/>
              <w:jc w:val="center"/>
              <w:rPr>
                <w:rFonts w:ascii="Arial"/>
                <w:sz w:val="21"/>
              </w:rPr>
            </w:pPr>
          </w:p>
          <w:p w14:paraId="0307E9CE">
            <w:pPr>
              <w:pStyle w:val="37"/>
              <w:spacing w:before="82" w:line="223" w:lineRule="auto"/>
              <w:ind w:left="99" w:right="173"/>
              <w:jc w:val="center"/>
              <w:rPr>
                <w:sz w:val="25"/>
                <w:szCs w:val="25"/>
              </w:rPr>
            </w:pPr>
            <w:r>
              <w:rPr>
                <w:spacing w:val="5"/>
                <w:sz w:val="25"/>
                <w:szCs w:val="25"/>
              </w:rPr>
              <w:t>技术合同专用</w:t>
            </w:r>
            <w:r>
              <w:rPr>
                <w:sz w:val="25"/>
                <w:szCs w:val="25"/>
              </w:rPr>
              <w:t xml:space="preserve"> </w:t>
            </w:r>
            <w:r>
              <w:rPr>
                <w:spacing w:val="5"/>
                <w:sz w:val="25"/>
                <w:szCs w:val="25"/>
              </w:rPr>
              <w:t>章或</w:t>
            </w:r>
          </w:p>
          <w:p w14:paraId="3B3C39CA">
            <w:pPr>
              <w:pStyle w:val="37"/>
              <w:spacing w:before="35" w:line="219" w:lineRule="auto"/>
              <w:ind w:left="99"/>
              <w:jc w:val="center"/>
              <w:rPr>
                <w:sz w:val="25"/>
                <w:szCs w:val="25"/>
              </w:rPr>
            </w:pPr>
            <w:r>
              <w:rPr>
                <w:spacing w:val="4"/>
                <w:sz w:val="25"/>
                <w:szCs w:val="25"/>
              </w:rPr>
              <w:t>单位公章</w:t>
            </w:r>
          </w:p>
          <w:p w14:paraId="6426F0D4">
            <w:pPr>
              <w:jc w:val="center"/>
              <w:rPr>
                <w:rFonts w:ascii="Arial"/>
                <w:sz w:val="21"/>
              </w:rPr>
            </w:pPr>
          </w:p>
          <w:p w14:paraId="32B27E09">
            <w:pPr>
              <w:spacing w:line="241" w:lineRule="auto"/>
              <w:jc w:val="center"/>
              <w:rPr>
                <w:rFonts w:ascii="Arial"/>
                <w:sz w:val="21"/>
              </w:rPr>
            </w:pPr>
          </w:p>
          <w:p w14:paraId="3D41263A">
            <w:pPr>
              <w:spacing w:line="241" w:lineRule="auto"/>
              <w:jc w:val="center"/>
              <w:rPr>
                <w:rFonts w:ascii="Arial"/>
                <w:sz w:val="21"/>
              </w:rPr>
            </w:pPr>
          </w:p>
          <w:p w14:paraId="5289D506">
            <w:pPr>
              <w:spacing w:line="241" w:lineRule="auto"/>
              <w:jc w:val="center"/>
              <w:rPr>
                <w:rFonts w:ascii="Arial"/>
                <w:sz w:val="21"/>
              </w:rPr>
            </w:pPr>
          </w:p>
          <w:p w14:paraId="5A9FE230">
            <w:pPr>
              <w:spacing w:line="241" w:lineRule="auto"/>
              <w:jc w:val="center"/>
              <w:rPr>
                <w:rFonts w:ascii="Arial"/>
                <w:sz w:val="21"/>
              </w:rPr>
            </w:pPr>
          </w:p>
          <w:p w14:paraId="479DB041">
            <w:pPr>
              <w:spacing w:line="241" w:lineRule="auto"/>
              <w:jc w:val="center"/>
              <w:rPr>
                <w:rFonts w:ascii="Arial"/>
                <w:sz w:val="21"/>
              </w:rPr>
            </w:pPr>
          </w:p>
          <w:p w14:paraId="45EAC1B6">
            <w:pPr>
              <w:spacing w:line="241" w:lineRule="auto"/>
              <w:jc w:val="center"/>
              <w:rPr>
                <w:rFonts w:ascii="Arial"/>
                <w:sz w:val="21"/>
              </w:rPr>
            </w:pPr>
          </w:p>
          <w:p w14:paraId="3D30E3FC">
            <w:pPr>
              <w:spacing w:line="241" w:lineRule="auto"/>
              <w:jc w:val="center"/>
              <w:rPr>
                <w:rFonts w:ascii="Arial"/>
                <w:sz w:val="21"/>
              </w:rPr>
            </w:pPr>
          </w:p>
          <w:p w14:paraId="7BA3B2D8">
            <w:pPr>
              <w:spacing w:line="241" w:lineRule="auto"/>
              <w:jc w:val="center"/>
              <w:rPr>
                <w:rFonts w:ascii="Arial"/>
                <w:sz w:val="21"/>
              </w:rPr>
            </w:pPr>
          </w:p>
          <w:p w14:paraId="374F120F">
            <w:pPr>
              <w:spacing w:line="241" w:lineRule="auto"/>
              <w:jc w:val="center"/>
              <w:rPr>
                <w:rFonts w:ascii="Arial"/>
                <w:sz w:val="21"/>
              </w:rPr>
            </w:pPr>
          </w:p>
          <w:p w14:paraId="21139BC0">
            <w:pPr>
              <w:pStyle w:val="37"/>
              <w:spacing w:before="81" w:line="219" w:lineRule="auto"/>
              <w:ind w:left="99"/>
              <w:jc w:val="center"/>
              <w:rPr>
                <w:sz w:val="25"/>
                <w:szCs w:val="25"/>
              </w:rPr>
            </w:pPr>
          </w:p>
        </w:tc>
      </w:tr>
      <w:tr w14:paraId="539AE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94" w:type="dxa"/>
            <w:vMerge w:val="continue"/>
            <w:tcBorders>
              <w:top w:val="nil"/>
              <w:bottom w:val="nil"/>
            </w:tcBorders>
            <w:textDirection w:val="tbRlV"/>
            <w:vAlign w:val="center"/>
          </w:tcPr>
          <w:p w14:paraId="6C8D1331">
            <w:pPr>
              <w:jc w:val="center"/>
              <w:rPr>
                <w:rFonts w:ascii="Arial"/>
                <w:sz w:val="21"/>
              </w:rPr>
            </w:pPr>
          </w:p>
        </w:tc>
        <w:tc>
          <w:tcPr>
            <w:tcW w:w="1688" w:type="dxa"/>
            <w:vAlign w:val="center"/>
          </w:tcPr>
          <w:p w14:paraId="57567D3F">
            <w:pPr>
              <w:pStyle w:val="37"/>
              <w:spacing w:before="295" w:line="219" w:lineRule="auto"/>
              <w:ind w:left="80"/>
              <w:jc w:val="center"/>
              <w:rPr>
                <w:sz w:val="25"/>
                <w:szCs w:val="25"/>
              </w:rPr>
            </w:pPr>
            <w:r>
              <w:rPr>
                <w:spacing w:val="2"/>
                <w:sz w:val="25"/>
                <w:szCs w:val="25"/>
              </w:rPr>
              <w:t>法定代表人</w:t>
            </w:r>
          </w:p>
        </w:tc>
        <w:tc>
          <w:tcPr>
            <w:tcW w:w="5004" w:type="dxa"/>
            <w:gridSpan w:val="4"/>
            <w:vAlign w:val="center"/>
          </w:tcPr>
          <w:p w14:paraId="6ACD01D8">
            <w:pPr>
              <w:spacing w:line="312" w:lineRule="auto"/>
              <w:jc w:val="center"/>
              <w:rPr>
                <w:rFonts w:ascii="Arial"/>
                <w:sz w:val="21"/>
              </w:rPr>
            </w:pPr>
          </w:p>
          <w:p w14:paraId="1D841856">
            <w:pPr>
              <w:pStyle w:val="37"/>
              <w:spacing w:before="81" w:line="219" w:lineRule="auto"/>
              <w:ind w:left="4513"/>
              <w:jc w:val="center"/>
              <w:rPr>
                <w:sz w:val="25"/>
                <w:szCs w:val="25"/>
              </w:rPr>
            </w:pPr>
          </w:p>
        </w:tc>
        <w:tc>
          <w:tcPr>
            <w:tcW w:w="1257" w:type="dxa"/>
            <w:vMerge w:val="continue"/>
            <w:tcBorders>
              <w:top w:val="nil"/>
              <w:bottom w:val="nil"/>
            </w:tcBorders>
            <w:vAlign w:val="center"/>
          </w:tcPr>
          <w:p w14:paraId="13B55D79">
            <w:pPr>
              <w:jc w:val="center"/>
              <w:rPr>
                <w:rFonts w:ascii="Arial"/>
                <w:sz w:val="21"/>
              </w:rPr>
            </w:pPr>
          </w:p>
        </w:tc>
      </w:tr>
      <w:tr w14:paraId="0315E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594" w:type="dxa"/>
            <w:vMerge w:val="continue"/>
            <w:tcBorders>
              <w:top w:val="nil"/>
              <w:bottom w:val="nil"/>
            </w:tcBorders>
            <w:textDirection w:val="tbRlV"/>
            <w:vAlign w:val="center"/>
          </w:tcPr>
          <w:p w14:paraId="5A805051">
            <w:pPr>
              <w:jc w:val="center"/>
              <w:rPr>
                <w:rFonts w:ascii="Arial"/>
                <w:sz w:val="21"/>
              </w:rPr>
            </w:pPr>
          </w:p>
        </w:tc>
        <w:tc>
          <w:tcPr>
            <w:tcW w:w="1688" w:type="dxa"/>
            <w:vAlign w:val="center"/>
          </w:tcPr>
          <w:p w14:paraId="21D00597">
            <w:pPr>
              <w:pStyle w:val="37"/>
              <w:spacing w:before="306" w:line="219" w:lineRule="auto"/>
              <w:ind w:left="80"/>
              <w:jc w:val="center"/>
              <w:rPr>
                <w:sz w:val="25"/>
                <w:szCs w:val="25"/>
              </w:rPr>
            </w:pPr>
            <w:r>
              <w:rPr>
                <w:spacing w:val="-2"/>
                <w:sz w:val="25"/>
                <w:szCs w:val="25"/>
              </w:rPr>
              <w:t>委托代理人</w:t>
            </w:r>
          </w:p>
        </w:tc>
        <w:tc>
          <w:tcPr>
            <w:tcW w:w="5004" w:type="dxa"/>
            <w:gridSpan w:val="4"/>
            <w:vAlign w:val="center"/>
          </w:tcPr>
          <w:p w14:paraId="152BACD6">
            <w:pPr>
              <w:jc w:val="center"/>
              <w:rPr>
                <w:rFonts w:ascii="Arial"/>
                <w:sz w:val="21"/>
              </w:rPr>
            </w:pPr>
          </w:p>
        </w:tc>
        <w:tc>
          <w:tcPr>
            <w:tcW w:w="1257" w:type="dxa"/>
            <w:vMerge w:val="continue"/>
            <w:tcBorders>
              <w:top w:val="nil"/>
              <w:bottom w:val="nil"/>
            </w:tcBorders>
            <w:vAlign w:val="center"/>
          </w:tcPr>
          <w:p w14:paraId="4424246B">
            <w:pPr>
              <w:jc w:val="center"/>
              <w:rPr>
                <w:rFonts w:ascii="Arial"/>
                <w:sz w:val="21"/>
              </w:rPr>
            </w:pPr>
          </w:p>
        </w:tc>
      </w:tr>
      <w:tr w14:paraId="4F08F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594" w:type="dxa"/>
            <w:vMerge w:val="continue"/>
            <w:tcBorders>
              <w:top w:val="nil"/>
              <w:bottom w:val="nil"/>
            </w:tcBorders>
            <w:textDirection w:val="tbRlV"/>
            <w:vAlign w:val="center"/>
          </w:tcPr>
          <w:p w14:paraId="75DC182E">
            <w:pPr>
              <w:jc w:val="center"/>
              <w:rPr>
                <w:rFonts w:ascii="Arial"/>
                <w:sz w:val="21"/>
              </w:rPr>
            </w:pPr>
          </w:p>
        </w:tc>
        <w:tc>
          <w:tcPr>
            <w:tcW w:w="1688" w:type="dxa"/>
            <w:vAlign w:val="center"/>
          </w:tcPr>
          <w:p w14:paraId="21E3FB50">
            <w:pPr>
              <w:pStyle w:val="37"/>
              <w:spacing w:before="169" w:line="220" w:lineRule="auto"/>
              <w:ind w:left="80"/>
              <w:jc w:val="center"/>
              <w:rPr>
                <w:sz w:val="25"/>
                <w:szCs w:val="25"/>
              </w:rPr>
            </w:pPr>
            <w:r>
              <w:rPr>
                <w:spacing w:val="-5"/>
                <w:sz w:val="25"/>
                <w:szCs w:val="25"/>
              </w:rPr>
              <w:t>住</w:t>
            </w:r>
            <w:r>
              <w:rPr>
                <w:spacing w:val="5"/>
                <w:sz w:val="25"/>
                <w:szCs w:val="25"/>
              </w:rPr>
              <w:t xml:space="preserve">  </w:t>
            </w:r>
            <w:r>
              <w:rPr>
                <w:spacing w:val="-5"/>
                <w:sz w:val="25"/>
                <w:szCs w:val="25"/>
              </w:rPr>
              <w:t>所</w:t>
            </w:r>
          </w:p>
          <w:p w14:paraId="14B88B84">
            <w:pPr>
              <w:pStyle w:val="37"/>
              <w:spacing w:before="5" w:line="222" w:lineRule="auto"/>
              <w:ind w:left="201"/>
              <w:jc w:val="center"/>
              <w:rPr>
                <w:sz w:val="25"/>
                <w:szCs w:val="25"/>
              </w:rPr>
            </w:pPr>
            <w:r>
              <w:rPr>
                <w:spacing w:val="9"/>
                <w:sz w:val="25"/>
                <w:szCs w:val="25"/>
              </w:rPr>
              <w:t>(通讯地址)</w:t>
            </w:r>
          </w:p>
        </w:tc>
        <w:tc>
          <w:tcPr>
            <w:tcW w:w="3016" w:type="dxa"/>
            <w:gridSpan w:val="2"/>
            <w:vAlign w:val="center"/>
          </w:tcPr>
          <w:p w14:paraId="7915C325">
            <w:pPr>
              <w:jc w:val="center"/>
              <w:rPr>
                <w:rFonts w:ascii="Arial"/>
                <w:sz w:val="21"/>
              </w:rPr>
            </w:pPr>
          </w:p>
        </w:tc>
        <w:tc>
          <w:tcPr>
            <w:tcW w:w="989" w:type="dxa"/>
            <w:vAlign w:val="center"/>
          </w:tcPr>
          <w:p w14:paraId="4141A4FF">
            <w:pPr>
              <w:pStyle w:val="37"/>
              <w:spacing w:before="49" w:line="221" w:lineRule="auto"/>
              <w:ind w:left="76"/>
              <w:jc w:val="center"/>
              <w:rPr>
                <w:sz w:val="25"/>
                <w:szCs w:val="25"/>
              </w:rPr>
            </w:pPr>
            <w:r>
              <w:rPr>
                <w:spacing w:val="5"/>
                <w:sz w:val="25"/>
                <w:szCs w:val="25"/>
              </w:rPr>
              <w:t>邮政</w:t>
            </w:r>
          </w:p>
          <w:p w14:paraId="5D10710F">
            <w:pPr>
              <w:pStyle w:val="37"/>
              <w:spacing w:before="19" w:line="219" w:lineRule="auto"/>
              <w:ind w:left="76"/>
              <w:jc w:val="center"/>
              <w:rPr>
                <w:sz w:val="25"/>
                <w:szCs w:val="25"/>
              </w:rPr>
            </w:pPr>
            <w:r>
              <w:rPr>
                <w:spacing w:val="6"/>
                <w:sz w:val="25"/>
                <w:szCs w:val="25"/>
              </w:rPr>
              <w:t>编码</w:t>
            </w:r>
          </w:p>
        </w:tc>
        <w:tc>
          <w:tcPr>
            <w:tcW w:w="999" w:type="dxa"/>
            <w:vAlign w:val="center"/>
          </w:tcPr>
          <w:p w14:paraId="2FC53E70">
            <w:pPr>
              <w:jc w:val="center"/>
              <w:rPr>
                <w:rFonts w:ascii="Arial"/>
                <w:sz w:val="21"/>
              </w:rPr>
            </w:pPr>
          </w:p>
        </w:tc>
        <w:tc>
          <w:tcPr>
            <w:tcW w:w="1257" w:type="dxa"/>
            <w:vMerge w:val="continue"/>
            <w:tcBorders>
              <w:top w:val="nil"/>
              <w:bottom w:val="nil"/>
            </w:tcBorders>
            <w:vAlign w:val="center"/>
          </w:tcPr>
          <w:p w14:paraId="54A8A805">
            <w:pPr>
              <w:jc w:val="center"/>
              <w:rPr>
                <w:rFonts w:ascii="Arial"/>
                <w:sz w:val="21"/>
              </w:rPr>
            </w:pPr>
          </w:p>
        </w:tc>
      </w:tr>
      <w:tr w14:paraId="1BF9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594" w:type="dxa"/>
            <w:vMerge w:val="continue"/>
            <w:tcBorders>
              <w:top w:val="nil"/>
              <w:bottom w:val="nil"/>
            </w:tcBorders>
            <w:textDirection w:val="tbRlV"/>
            <w:vAlign w:val="center"/>
          </w:tcPr>
          <w:p w14:paraId="3F12D6DC">
            <w:pPr>
              <w:jc w:val="center"/>
              <w:rPr>
                <w:rFonts w:ascii="Arial"/>
                <w:sz w:val="21"/>
              </w:rPr>
            </w:pPr>
          </w:p>
        </w:tc>
        <w:tc>
          <w:tcPr>
            <w:tcW w:w="1688" w:type="dxa"/>
            <w:vAlign w:val="center"/>
          </w:tcPr>
          <w:p w14:paraId="41290F6B">
            <w:pPr>
              <w:pStyle w:val="37"/>
              <w:spacing w:before="311" w:line="221" w:lineRule="auto"/>
              <w:ind w:left="80"/>
              <w:jc w:val="center"/>
              <w:rPr>
                <w:sz w:val="25"/>
                <w:szCs w:val="25"/>
              </w:rPr>
            </w:pPr>
            <w:r>
              <w:rPr>
                <w:spacing w:val="-20"/>
                <w:sz w:val="25"/>
                <w:szCs w:val="25"/>
              </w:rPr>
              <w:t>电</w:t>
            </w:r>
            <w:r>
              <w:rPr>
                <w:spacing w:val="29"/>
                <w:sz w:val="25"/>
                <w:szCs w:val="25"/>
              </w:rPr>
              <w:t xml:space="preserve">  </w:t>
            </w:r>
            <w:r>
              <w:rPr>
                <w:spacing w:val="-20"/>
                <w:sz w:val="25"/>
                <w:szCs w:val="25"/>
              </w:rPr>
              <w:t>话</w:t>
            </w:r>
          </w:p>
        </w:tc>
        <w:tc>
          <w:tcPr>
            <w:tcW w:w="2007" w:type="dxa"/>
            <w:vAlign w:val="center"/>
          </w:tcPr>
          <w:p w14:paraId="34ADDF1E">
            <w:pPr>
              <w:jc w:val="center"/>
              <w:rPr>
                <w:rFonts w:ascii="Arial"/>
                <w:sz w:val="21"/>
              </w:rPr>
            </w:pPr>
          </w:p>
        </w:tc>
        <w:tc>
          <w:tcPr>
            <w:tcW w:w="1009" w:type="dxa"/>
            <w:vAlign w:val="center"/>
          </w:tcPr>
          <w:p w14:paraId="7AA7D52A">
            <w:pPr>
              <w:pStyle w:val="37"/>
              <w:spacing w:before="306" w:line="219" w:lineRule="auto"/>
              <w:ind w:left="245"/>
              <w:jc w:val="center"/>
              <w:rPr>
                <w:sz w:val="25"/>
                <w:szCs w:val="25"/>
              </w:rPr>
            </w:pPr>
            <w:r>
              <w:rPr>
                <w:spacing w:val="-2"/>
                <w:sz w:val="25"/>
                <w:szCs w:val="25"/>
              </w:rPr>
              <w:t>传真</w:t>
            </w:r>
          </w:p>
        </w:tc>
        <w:tc>
          <w:tcPr>
            <w:tcW w:w="1988" w:type="dxa"/>
            <w:gridSpan w:val="2"/>
            <w:vAlign w:val="center"/>
          </w:tcPr>
          <w:p w14:paraId="2093C0BD">
            <w:pPr>
              <w:jc w:val="center"/>
              <w:rPr>
                <w:rFonts w:ascii="Arial"/>
                <w:sz w:val="21"/>
              </w:rPr>
            </w:pPr>
          </w:p>
        </w:tc>
        <w:tc>
          <w:tcPr>
            <w:tcW w:w="1257" w:type="dxa"/>
            <w:vMerge w:val="continue"/>
            <w:tcBorders>
              <w:top w:val="nil"/>
              <w:bottom w:val="nil"/>
            </w:tcBorders>
            <w:vAlign w:val="center"/>
          </w:tcPr>
          <w:p w14:paraId="298313E3">
            <w:pPr>
              <w:jc w:val="center"/>
              <w:rPr>
                <w:rFonts w:ascii="Arial"/>
                <w:sz w:val="21"/>
              </w:rPr>
            </w:pPr>
          </w:p>
        </w:tc>
      </w:tr>
      <w:tr w14:paraId="3D4F2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594" w:type="dxa"/>
            <w:vMerge w:val="continue"/>
            <w:tcBorders>
              <w:top w:val="nil"/>
              <w:bottom w:val="nil"/>
            </w:tcBorders>
            <w:textDirection w:val="tbRlV"/>
            <w:vAlign w:val="center"/>
          </w:tcPr>
          <w:p w14:paraId="417FD22D">
            <w:pPr>
              <w:jc w:val="center"/>
              <w:rPr>
                <w:rFonts w:ascii="Arial"/>
                <w:sz w:val="21"/>
              </w:rPr>
            </w:pPr>
          </w:p>
        </w:tc>
        <w:tc>
          <w:tcPr>
            <w:tcW w:w="1688" w:type="dxa"/>
            <w:vAlign w:val="center"/>
          </w:tcPr>
          <w:p w14:paraId="61232082">
            <w:pPr>
              <w:pStyle w:val="37"/>
              <w:spacing w:before="300" w:line="220" w:lineRule="auto"/>
              <w:ind w:left="80"/>
              <w:jc w:val="center"/>
              <w:rPr>
                <w:sz w:val="25"/>
                <w:szCs w:val="25"/>
              </w:rPr>
            </w:pPr>
            <w:r>
              <w:rPr>
                <w:spacing w:val="3"/>
                <w:sz w:val="25"/>
                <w:szCs w:val="25"/>
              </w:rPr>
              <w:t>开户银行</w:t>
            </w:r>
          </w:p>
        </w:tc>
        <w:tc>
          <w:tcPr>
            <w:tcW w:w="5004" w:type="dxa"/>
            <w:gridSpan w:val="4"/>
            <w:vAlign w:val="center"/>
          </w:tcPr>
          <w:p w14:paraId="5388570C">
            <w:pPr>
              <w:jc w:val="center"/>
              <w:rPr>
                <w:rFonts w:ascii="Arial"/>
                <w:sz w:val="21"/>
              </w:rPr>
            </w:pPr>
          </w:p>
        </w:tc>
        <w:tc>
          <w:tcPr>
            <w:tcW w:w="1257" w:type="dxa"/>
            <w:vMerge w:val="continue"/>
            <w:tcBorders>
              <w:top w:val="nil"/>
              <w:bottom w:val="nil"/>
            </w:tcBorders>
            <w:vAlign w:val="center"/>
          </w:tcPr>
          <w:p w14:paraId="6504B4ED">
            <w:pPr>
              <w:jc w:val="center"/>
              <w:rPr>
                <w:rFonts w:ascii="Arial"/>
                <w:sz w:val="21"/>
              </w:rPr>
            </w:pPr>
          </w:p>
        </w:tc>
      </w:tr>
      <w:tr w14:paraId="3CEC8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594" w:type="dxa"/>
            <w:vMerge w:val="continue"/>
            <w:tcBorders>
              <w:top w:val="nil"/>
            </w:tcBorders>
            <w:textDirection w:val="tbRlV"/>
            <w:vAlign w:val="center"/>
          </w:tcPr>
          <w:p w14:paraId="75F9DD94">
            <w:pPr>
              <w:jc w:val="center"/>
              <w:rPr>
                <w:rFonts w:ascii="Arial"/>
                <w:sz w:val="21"/>
              </w:rPr>
            </w:pPr>
          </w:p>
        </w:tc>
        <w:tc>
          <w:tcPr>
            <w:tcW w:w="1688" w:type="dxa"/>
            <w:vAlign w:val="center"/>
          </w:tcPr>
          <w:p w14:paraId="7CA3CC4B">
            <w:pPr>
              <w:pStyle w:val="37"/>
              <w:spacing w:before="311" w:line="220" w:lineRule="auto"/>
              <w:ind w:left="80"/>
              <w:jc w:val="center"/>
              <w:rPr>
                <w:sz w:val="25"/>
                <w:szCs w:val="25"/>
              </w:rPr>
            </w:pPr>
            <w:r>
              <w:rPr>
                <w:spacing w:val="-10"/>
                <w:sz w:val="25"/>
                <w:szCs w:val="25"/>
              </w:rPr>
              <w:t>帐</w:t>
            </w:r>
            <w:r>
              <w:rPr>
                <w:spacing w:val="18"/>
                <w:sz w:val="25"/>
                <w:szCs w:val="25"/>
              </w:rPr>
              <w:t xml:space="preserve">   </w:t>
            </w:r>
            <w:r>
              <w:rPr>
                <w:spacing w:val="-10"/>
                <w:sz w:val="25"/>
                <w:szCs w:val="25"/>
              </w:rPr>
              <w:t>号</w:t>
            </w:r>
          </w:p>
        </w:tc>
        <w:tc>
          <w:tcPr>
            <w:tcW w:w="5004" w:type="dxa"/>
            <w:gridSpan w:val="4"/>
            <w:vAlign w:val="center"/>
          </w:tcPr>
          <w:p w14:paraId="150FAD21">
            <w:pPr>
              <w:jc w:val="center"/>
              <w:rPr>
                <w:rFonts w:ascii="Arial"/>
                <w:sz w:val="21"/>
              </w:rPr>
            </w:pPr>
          </w:p>
        </w:tc>
        <w:tc>
          <w:tcPr>
            <w:tcW w:w="1257" w:type="dxa"/>
            <w:vMerge w:val="continue"/>
            <w:tcBorders>
              <w:top w:val="nil"/>
            </w:tcBorders>
            <w:vAlign w:val="center"/>
          </w:tcPr>
          <w:p w14:paraId="7A888A50">
            <w:pPr>
              <w:jc w:val="center"/>
              <w:rPr>
                <w:rFonts w:ascii="Arial"/>
                <w:sz w:val="21"/>
              </w:rPr>
            </w:pPr>
          </w:p>
        </w:tc>
      </w:tr>
    </w:tbl>
    <w:p w14:paraId="1B5817B2">
      <w:pPr>
        <w:rPr>
          <w:rFonts w:hint="eastAsia"/>
          <w:sz w:val="24"/>
          <w:szCs w:val="24"/>
          <w:lang w:val="en-US" w:eastAsia="zh-CN"/>
        </w:rPr>
      </w:pPr>
    </w:p>
    <w:p w14:paraId="4C244073">
      <w:pPr>
        <w:rPr>
          <w:rFonts w:hint="eastAsia"/>
          <w:sz w:val="24"/>
          <w:szCs w:val="24"/>
          <w:lang w:val="en-US" w:eastAsia="zh-CN"/>
        </w:rPr>
      </w:pPr>
    </w:p>
    <w:p w14:paraId="354B3559">
      <w:pPr>
        <w:rPr>
          <w:rFonts w:hint="eastAsia"/>
          <w:sz w:val="24"/>
          <w:szCs w:val="24"/>
          <w:lang w:val="en-US" w:eastAsia="zh-CN"/>
        </w:rPr>
      </w:pPr>
    </w:p>
    <w:p w14:paraId="67BE1D3C">
      <w:pPr>
        <w:rPr>
          <w:rFonts w:hint="eastAsia"/>
          <w:sz w:val="24"/>
          <w:szCs w:val="24"/>
          <w:lang w:val="en-US" w:eastAsia="zh-CN"/>
        </w:rPr>
      </w:pPr>
    </w:p>
    <w:p w14:paraId="52039D2A">
      <w:pPr>
        <w:rPr>
          <w:rFonts w:hint="eastAsia"/>
          <w:sz w:val="24"/>
          <w:szCs w:val="24"/>
          <w:lang w:val="en-US" w:eastAsia="zh-CN"/>
        </w:rPr>
      </w:pPr>
    </w:p>
    <w:p w14:paraId="06513A87">
      <w:pPr>
        <w:rPr>
          <w:rFonts w:hint="eastAsia"/>
          <w:sz w:val="24"/>
          <w:szCs w:val="24"/>
          <w:lang w:val="en-US" w:eastAsia="zh-CN"/>
        </w:rPr>
      </w:pPr>
    </w:p>
    <w:p w14:paraId="20511083">
      <w:pPr>
        <w:rPr>
          <w:rFonts w:hint="eastAsia"/>
          <w:sz w:val="24"/>
          <w:szCs w:val="24"/>
          <w:lang w:val="en-US" w:eastAsia="zh-CN"/>
        </w:rPr>
      </w:pPr>
    </w:p>
    <w:p w14:paraId="3DB03B5F">
      <w:pPr>
        <w:rPr>
          <w:rFonts w:hint="eastAsia"/>
          <w:sz w:val="24"/>
          <w:szCs w:val="24"/>
          <w:lang w:val="en-US" w:eastAsia="zh-CN"/>
        </w:rPr>
      </w:pPr>
    </w:p>
    <w:p w14:paraId="53806D2E">
      <w:pPr>
        <w:rPr>
          <w:rFonts w:hint="eastAsia"/>
          <w:sz w:val="24"/>
          <w:szCs w:val="24"/>
          <w:lang w:val="en-US" w:eastAsia="zh-CN"/>
        </w:rPr>
      </w:pPr>
    </w:p>
    <w:p w14:paraId="01DD3166">
      <w:pPr>
        <w:rPr>
          <w:rFonts w:hint="eastAsia"/>
          <w:sz w:val="24"/>
          <w:szCs w:val="24"/>
          <w:lang w:val="en-US" w:eastAsia="zh-CN"/>
        </w:rPr>
      </w:pPr>
    </w:p>
    <w:p w14:paraId="000BDD4A">
      <w:pPr>
        <w:rPr>
          <w:rFonts w:hint="eastAsia"/>
          <w:sz w:val="24"/>
          <w:szCs w:val="24"/>
          <w:lang w:val="en-US" w:eastAsia="zh-CN"/>
        </w:rPr>
      </w:pPr>
    </w:p>
    <w:p w14:paraId="360473B0">
      <w:pPr>
        <w:spacing w:before="36" w:line="224" w:lineRule="auto"/>
        <w:ind w:left="157"/>
        <w:rPr>
          <w:rFonts w:hint="default" w:ascii="黑体" w:hAnsi="黑体" w:eastAsia="黑体" w:cs="黑体"/>
          <w:sz w:val="18"/>
          <w:szCs w:val="18"/>
          <w:lang w:val="en-US"/>
        </w:rPr>
      </w:pPr>
      <w:r>
        <w:rPr>
          <w:rFonts w:ascii="黑体" w:hAnsi="黑体" w:eastAsia="黑体" w:cs="黑体"/>
          <w:b/>
          <w:bCs/>
          <w:spacing w:val="-2"/>
          <w:sz w:val="18"/>
          <w:szCs w:val="18"/>
        </w:rPr>
        <w:t>附件</w:t>
      </w:r>
      <w:r>
        <w:rPr>
          <w:rFonts w:hint="eastAsia" w:ascii="黑体" w:hAnsi="黑体" w:eastAsia="黑体" w:cs="黑体"/>
          <w:b/>
          <w:bCs/>
          <w:spacing w:val="-2"/>
          <w:sz w:val="18"/>
          <w:szCs w:val="18"/>
          <w:lang w:val="en-US" w:eastAsia="zh-CN"/>
        </w:rPr>
        <w:t>1：</w:t>
      </w:r>
    </w:p>
    <w:p w14:paraId="215E0FA9">
      <w:pPr>
        <w:pStyle w:val="10"/>
        <w:spacing w:before="182" w:line="219" w:lineRule="auto"/>
        <w:ind w:left="3799"/>
        <w:jc w:val="both"/>
        <w:outlineLvl w:val="0"/>
        <w:rPr>
          <w:sz w:val="31"/>
          <w:szCs w:val="31"/>
        </w:rPr>
      </w:pPr>
      <w:r>
        <w:rPr>
          <w:b/>
          <w:bCs/>
          <w:spacing w:val="-6"/>
          <w:sz w:val="31"/>
          <w:szCs w:val="31"/>
        </w:rPr>
        <w:t>运维考核表</w:t>
      </w:r>
    </w:p>
    <w:p w14:paraId="15C2B1A1">
      <w:pPr>
        <w:pStyle w:val="10"/>
        <w:spacing w:before="280" w:line="219" w:lineRule="auto"/>
        <w:ind w:left="144"/>
      </w:pPr>
      <w:r>
        <w:rPr>
          <w:rFonts w:hint="eastAsia"/>
          <w:spacing w:val="-1"/>
          <w:lang w:eastAsia="zh-CN"/>
        </w:rPr>
        <w:t>运维单位</w:t>
      </w:r>
      <w:r>
        <w:rPr>
          <w:spacing w:val="-1"/>
        </w:rPr>
        <w:t>：</w:t>
      </w:r>
    </w:p>
    <w:p w14:paraId="2F303FB7">
      <w:pPr>
        <w:spacing w:line="175" w:lineRule="exact"/>
      </w:pPr>
    </w:p>
    <w:tbl>
      <w:tblPr>
        <w:tblStyle w:val="36"/>
        <w:tblW w:w="90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3"/>
        <w:gridCol w:w="1515"/>
        <w:gridCol w:w="4359"/>
        <w:gridCol w:w="579"/>
        <w:gridCol w:w="539"/>
        <w:gridCol w:w="634"/>
      </w:tblGrid>
      <w:tr w14:paraId="77CBA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9" w:hRule="atLeast"/>
        </w:trPr>
        <w:tc>
          <w:tcPr>
            <w:tcW w:w="1433" w:type="dxa"/>
            <w:vAlign w:val="top"/>
          </w:tcPr>
          <w:p w14:paraId="6324328C">
            <w:pPr>
              <w:spacing w:line="471" w:lineRule="auto"/>
              <w:rPr>
                <w:rFonts w:ascii="Arial"/>
                <w:sz w:val="21"/>
              </w:rPr>
            </w:pPr>
          </w:p>
          <w:p w14:paraId="185C69DE">
            <w:pPr>
              <w:pStyle w:val="37"/>
              <w:spacing w:before="58" w:line="219" w:lineRule="auto"/>
              <w:ind w:left="345"/>
            </w:pPr>
            <w:r>
              <w:rPr>
                <w:spacing w:val="8"/>
              </w:rPr>
              <w:t>考核项目</w:t>
            </w:r>
          </w:p>
        </w:tc>
        <w:tc>
          <w:tcPr>
            <w:tcW w:w="1515" w:type="dxa"/>
            <w:vAlign w:val="top"/>
          </w:tcPr>
          <w:p w14:paraId="6B111347">
            <w:pPr>
              <w:spacing w:line="471" w:lineRule="auto"/>
              <w:rPr>
                <w:rFonts w:ascii="Arial"/>
                <w:sz w:val="21"/>
              </w:rPr>
            </w:pPr>
          </w:p>
          <w:p w14:paraId="5F0CBDBB">
            <w:pPr>
              <w:pStyle w:val="37"/>
              <w:spacing w:before="58" w:line="219" w:lineRule="auto"/>
              <w:ind w:left="542"/>
            </w:pPr>
            <w:r>
              <w:rPr>
                <w:spacing w:val="-2"/>
              </w:rPr>
              <w:t>考核内容</w:t>
            </w:r>
          </w:p>
        </w:tc>
        <w:tc>
          <w:tcPr>
            <w:tcW w:w="4359" w:type="dxa"/>
            <w:vAlign w:val="top"/>
          </w:tcPr>
          <w:p w14:paraId="3B6ADA94">
            <w:pPr>
              <w:spacing w:line="471" w:lineRule="auto"/>
              <w:rPr>
                <w:rFonts w:ascii="Arial"/>
                <w:sz w:val="21"/>
              </w:rPr>
            </w:pPr>
          </w:p>
          <w:p w14:paraId="5A0AC998">
            <w:pPr>
              <w:pStyle w:val="37"/>
              <w:spacing w:before="58" w:line="219" w:lineRule="auto"/>
              <w:ind w:left="1664"/>
            </w:pPr>
            <w:r>
              <w:rPr>
                <w:spacing w:val="-2"/>
              </w:rPr>
              <w:t>考核要求</w:t>
            </w:r>
          </w:p>
        </w:tc>
        <w:tc>
          <w:tcPr>
            <w:tcW w:w="579" w:type="dxa"/>
            <w:vAlign w:val="top"/>
          </w:tcPr>
          <w:p w14:paraId="790AF99B">
            <w:pPr>
              <w:spacing w:line="312" w:lineRule="auto"/>
              <w:jc w:val="center"/>
              <w:rPr>
                <w:rFonts w:ascii="Arial"/>
                <w:sz w:val="21"/>
              </w:rPr>
            </w:pPr>
          </w:p>
          <w:p w14:paraId="56DF2F67">
            <w:pPr>
              <w:pStyle w:val="37"/>
              <w:spacing w:before="59" w:line="268" w:lineRule="auto"/>
              <w:ind w:left="107" w:right="108"/>
              <w:jc w:val="center"/>
            </w:pPr>
            <w:r>
              <w:rPr>
                <w:spacing w:val="-4"/>
              </w:rPr>
              <w:t>标准</w:t>
            </w:r>
            <w:r>
              <w:t xml:space="preserve"> </w:t>
            </w:r>
            <w:r>
              <w:rPr>
                <w:spacing w:val="-5"/>
              </w:rPr>
              <w:t>分数</w:t>
            </w:r>
          </w:p>
        </w:tc>
        <w:tc>
          <w:tcPr>
            <w:tcW w:w="539" w:type="dxa"/>
            <w:textDirection w:val="tbRlV"/>
            <w:vAlign w:val="top"/>
          </w:tcPr>
          <w:p w14:paraId="7C67FE59">
            <w:pPr>
              <w:pStyle w:val="37"/>
              <w:spacing w:before="160" w:line="216" w:lineRule="auto"/>
              <w:ind w:left="37"/>
              <w:jc w:val="center"/>
            </w:pPr>
            <w:r>
              <w:t>实</w:t>
            </w:r>
            <w:r>
              <w:rPr>
                <w:rFonts w:hint="eastAsia"/>
                <w:lang w:val="en-US" w:eastAsia="zh-CN"/>
              </w:rPr>
              <w:t xml:space="preserve"> </w:t>
            </w:r>
            <w:r>
              <w:t>际</w:t>
            </w:r>
            <w:r>
              <w:rPr>
                <w:rFonts w:hint="eastAsia"/>
                <w:lang w:val="en-US" w:eastAsia="zh-CN"/>
              </w:rPr>
              <w:t xml:space="preserve"> </w:t>
            </w:r>
            <w:r>
              <w:t>得</w:t>
            </w:r>
            <w:r>
              <w:rPr>
                <w:rFonts w:hint="eastAsia"/>
                <w:lang w:val="en-US" w:eastAsia="zh-CN"/>
              </w:rPr>
              <w:t xml:space="preserve"> </w:t>
            </w:r>
            <w:r>
              <w:t>分</w:t>
            </w:r>
          </w:p>
        </w:tc>
        <w:tc>
          <w:tcPr>
            <w:tcW w:w="634" w:type="dxa"/>
            <w:vAlign w:val="top"/>
          </w:tcPr>
          <w:p w14:paraId="237C26CA">
            <w:pPr>
              <w:spacing w:line="312" w:lineRule="auto"/>
              <w:jc w:val="center"/>
              <w:rPr>
                <w:rFonts w:ascii="Arial"/>
                <w:sz w:val="21"/>
              </w:rPr>
            </w:pPr>
          </w:p>
          <w:p w14:paraId="1499499F">
            <w:pPr>
              <w:pStyle w:val="37"/>
              <w:spacing w:before="59" w:line="263" w:lineRule="auto"/>
              <w:ind w:left="129" w:right="114"/>
              <w:jc w:val="center"/>
            </w:pPr>
            <w:r>
              <w:rPr>
                <w:spacing w:val="-5"/>
              </w:rPr>
              <w:t>扣分</w:t>
            </w:r>
            <w:r>
              <w:t xml:space="preserve"> </w:t>
            </w:r>
            <w:r>
              <w:rPr>
                <w:spacing w:val="9"/>
              </w:rPr>
              <w:t>说明</w:t>
            </w:r>
          </w:p>
        </w:tc>
      </w:tr>
      <w:tr w14:paraId="0C8F0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33" w:type="dxa"/>
            <w:vMerge w:val="restart"/>
            <w:tcBorders>
              <w:bottom w:val="nil"/>
            </w:tcBorders>
            <w:vAlign w:val="top"/>
          </w:tcPr>
          <w:p w14:paraId="323C19CB">
            <w:pPr>
              <w:spacing w:line="263" w:lineRule="auto"/>
              <w:rPr>
                <w:rFonts w:ascii="Arial"/>
                <w:sz w:val="21"/>
              </w:rPr>
            </w:pPr>
          </w:p>
          <w:p w14:paraId="1E3AC4C9">
            <w:pPr>
              <w:spacing w:line="263" w:lineRule="auto"/>
              <w:rPr>
                <w:rFonts w:ascii="Arial"/>
                <w:sz w:val="21"/>
              </w:rPr>
            </w:pPr>
          </w:p>
          <w:p w14:paraId="1109A859">
            <w:pPr>
              <w:spacing w:line="263" w:lineRule="auto"/>
              <w:rPr>
                <w:rFonts w:ascii="Arial"/>
                <w:sz w:val="21"/>
              </w:rPr>
            </w:pPr>
          </w:p>
          <w:p w14:paraId="0FDFB8A9">
            <w:pPr>
              <w:spacing w:line="263" w:lineRule="auto"/>
              <w:rPr>
                <w:rFonts w:ascii="Arial"/>
                <w:sz w:val="21"/>
              </w:rPr>
            </w:pPr>
          </w:p>
          <w:p w14:paraId="215007EC">
            <w:pPr>
              <w:spacing w:line="264" w:lineRule="auto"/>
              <w:rPr>
                <w:rFonts w:ascii="Arial"/>
                <w:sz w:val="21"/>
              </w:rPr>
            </w:pPr>
          </w:p>
          <w:p w14:paraId="43BC4B08">
            <w:pPr>
              <w:spacing w:line="264" w:lineRule="auto"/>
              <w:rPr>
                <w:rFonts w:ascii="Arial"/>
                <w:sz w:val="21"/>
              </w:rPr>
            </w:pPr>
          </w:p>
          <w:p w14:paraId="29016AAB">
            <w:pPr>
              <w:pStyle w:val="37"/>
              <w:spacing w:before="59" w:line="269" w:lineRule="auto"/>
              <w:ind w:left="344" w:right="185" w:hanging="180"/>
            </w:pPr>
            <w:r>
              <w:rPr>
                <w:spacing w:val="-2"/>
              </w:rPr>
              <w:t>运行与日常维</w:t>
            </w:r>
            <w:r>
              <w:rPr>
                <w:spacing w:val="3"/>
              </w:rPr>
              <w:t xml:space="preserve"> </w:t>
            </w:r>
            <w:r>
              <w:rPr>
                <w:spacing w:val="6"/>
              </w:rPr>
              <w:t>护(40分)</w:t>
            </w:r>
          </w:p>
        </w:tc>
        <w:tc>
          <w:tcPr>
            <w:tcW w:w="1515" w:type="dxa"/>
            <w:vAlign w:val="top"/>
          </w:tcPr>
          <w:p w14:paraId="415EE88E">
            <w:pPr>
              <w:pStyle w:val="37"/>
              <w:spacing w:before="228" w:line="220" w:lineRule="auto"/>
              <w:ind w:left="91"/>
            </w:pPr>
            <w:r>
              <w:rPr>
                <w:spacing w:val="-2"/>
              </w:rPr>
              <w:t>站房、设备</w:t>
            </w:r>
          </w:p>
        </w:tc>
        <w:tc>
          <w:tcPr>
            <w:tcW w:w="4359" w:type="dxa"/>
            <w:vAlign w:val="top"/>
          </w:tcPr>
          <w:p w14:paraId="059A20A9">
            <w:pPr>
              <w:pStyle w:val="37"/>
              <w:spacing w:before="228" w:line="219" w:lineRule="auto"/>
              <w:ind w:left="93"/>
            </w:pPr>
            <w:r>
              <w:t>保持站房</w:t>
            </w:r>
            <w:r>
              <w:rPr>
                <w:rFonts w:hint="eastAsia"/>
                <w:lang w:eastAsia="zh-CN"/>
              </w:rPr>
              <w:t>、周边环境</w:t>
            </w:r>
            <w:r>
              <w:t>和仪器设备清洁。</w:t>
            </w:r>
          </w:p>
        </w:tc>
        <w:tc>
          <w:tcPr>
            <w:tcW w:w="579" w:type="dxa"/>
            <w:vAlign w:val="top"/>
          </w:tcPr>
          <w:p w14:paraId="5CF78C88">
            <w:pPr>
              <w:pStyle w:val="37"/>
              <w:spacing w:before="228" w:line="220" w:lineRule="auto"/>
              <w:ind w:left="147"/>
            </w:pPr>
            <w:r>
              <w:rPr>
                <w:spacing w:val="-2"/>
              </w:rPr>
              <w:t>5分</w:t>
            </w:r>
          </w:p>
        </w:tc>
        <w:tc>
          <w:tcPr>
            <w:tcW w:w="539" w:type="dxa"/>
            <w:vAlign w:val="top"/>
          </w:tcPr>
          <w:p w14:paraId="28352A89">
            <w:pPr>
              <w:rPr>
                <w:rFonts w:ascii="Arial"/>
                <w:sz w:val="21"/>
              </w:rPr>
            </w:pPr>
          </w:p>
        </w:tc>
        <w:tc>
          <w:tcPr>
            <w:tcW w:w="634" w:type="dxa"/>
            <w:vAlign w:val="top"/>
          </w:tcPr>
          <w:p w14:paraId="1FC7F8BF">
            <w:pPr>
              <w:rPr>
                <w:rFonts w:ascii="Arial"/>
                <w:sz w:val="21"/>
              </w:rPr>
            </w:pPr>
          </w:p>
        </w:tc>
      </w:tr>
      <w:tr w14:paraId="598D7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1433" w:type="dxa"/>
            <w:vMerge w:val="continue"/>
            <w:tcBorders>
              <w:top w:val="nil"/>
              <w:bottom w:val="nil"/>
            </w:tcBorders>
            <w:vAlign w:val="top"/>
          </w:tcPr>
          <w:p w14:paraId="1F1590DC">
            <w:pPr>
              <w:rPr>
                <w:rFonts w:ascii="Arial"/>
                <w:sz w:val="21"/>
              </w:rPr>
            </w:pPr>
          </w:p>
        </w:tc>
        <w:tc>
          <w:tcPr>
            <w:tcW w:w="1515" w:type="dxa"/>
            <w:vAlign w:val="top"/>
          </w:tcPr>
          <w:p w14:paraId="0B88CF6B">
            <w:pPr>
              <w:pStyle w:val="37"/>
              <w:spacing w:before="68" w:line="220" w:lineRule="auto"/>
              <w:ind w:left="91"/>
            </w:pPr>
            <w:r>
              <w:rPr>
                <w:spacing w:val="-2"/>
              </w:rPr>
              <w:t>危废转移</w:t>
            </w:r>
          </w:p>
        </w:tc>
        <w:tc>
          <w:tcPr>
            <w:tcW w:w="4359" w:type="dxa"/>
            <w:vAlign w:val="top"/>
          </w:tcPr>
          <w:p w14:paraId="603EED57">
            <w:pPr>
              <w:pStyle w:val="37"/>
              <w:spacing w:before="68" w:line="220" w:lineRule="auto"/>
              <w:ind w:left="93"/>
            </w:pPr>
            <w:r>
              <w:rPr>
                <w:rFonts w:hint="eastAsia"/>
                <w:spacing w:val="-2"/>
                <w:lang w:eastAsia="zh-CN"/>
              </w:rPr>
              <w:t>产生</w:t>
            </w:r>
            <w:r>
              <w:rPr>
                <w:spacing w:val="-2"/>
              </w:rPr>
              <w:t>危废及时处理</w:t>
            </w:r>
          </w:p>
        </w:tc>
        <w:tc>
          <w:tcPr>
            <w:tcW w:w="579" w:type="dxa"/>
            <w:vAlign w:val="top"/>
          </w:tcPr>
          <w:p w14:paraId="104D2552">
            <w:pPr>
              <w:pStyle w:val="37"/>
              <w:spacing w:before="68" w:line="220" w:lineRule="auto"/>
              <w:ind w:left="147"/>
            </w:pPr>
            <w:r>
              <w:rPr>
                <w:spacing w:val="-2"/>
              </w:rPr>
              <w:t>5分</w:t>
            </w:r>
          </w:p>
        </w:tc>
        <w:tc>
          <w:tcPr>
            <w:tcW w:w="539" w:type="dxa"/>
            <w:vAlign w:val="top"/>
          </w:tcPr>
          <w:p w14:paraId="5E0AE2C6">
            <w:pPr>
              <w:rPr>
                <w:rFonts w:ascii="Arial"/>
                <w:sz w:val="21"/>
              </w:rPr>
            </w:pPr>
          </w:p>
        </w:tc>
        <w:tc>
          <w:tcPr>
            <w:tcW w:w="634" w:type="dxa"/>
            <w:vAlign w:val="top"/>
          </w:tcPr>
          <w:p w14:paraId="50E4C131">
            <w:pPr>
              <w:rPr>
                <w:rFonts w:ascii="Arial"/>
                <w:sz w:val="21"/>
              </w:rPr>
            </w:pPr>
          </w:p>
        </w:tc>
      </w:tr>
      <w:tr w14:paraId="45FB9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33" w:type="dxa"/>
            <w:vMerge w:val="continue"/>
            <w:tcBorders>
              <w:top w:val="nil"/>
              <w:bottom w:val="nil"/>
            </w:tcBorders>
            <w:vAlign w:val="top"/>
          </w:tcPr>
          <w:p w14:paraId="325B0B36">
            <w:pPr>
              <w:rPr>
                <w:rFonts w:ascii="Arial"/>
                <w:sz w:val="21"/>
              </w:rPr>
            </w:pPr>
          </w:p>
        </w:tc>
        <w:tc>
          <w:tcPr>
            <w:tcW w:w="1515" w:type="dxa"/>
            <w:vAlign w:val="top"/>
          </w:tcPr>
          <w:p w14:paraId="441CB3E8">
            <w:pPr>
              <w:pStyle w:val="37"/>
              <w:spacing w:before="68" w:line="277" w:lineRule="auto"/>
              <w:ind w:left="91" w:right="85" w:firstLine="10"/>
            </w:pPr>
            <w:r>
              <w:rPr>
                <w:spacing w:val="-2"/>
              </w:rPr>
              <w:t>取水、排水及内部管</w:t>
            </w:r>
            <w:r>
              <w:rPr>
                <w:spacing w:val="7"/>
              </w:rPr>
              <w:t xml:space="preserve"> </w:t>
            </w:r>
            <w:r>
              <w:t>理</w:t>
            </w:r>
          </w:p>
        </w:tc>
        <w:tc>
          <w:tcPr>
            <w:tcW w:w="4359" w:type="dxa"/>
            <w:vAlign w:val="top"/>
          </w:tcPr>
          <w:p w14:paraId="54C5240B">
            <w:pPr>
              <w:pStyle w:val="37"/>
              <w:spacing w:before="68" w:line="264" w:lineRule="auto"/>
              <w:ind w:left="93"/>
            </w:pPr>
            <w:r>
              <w:t>定期维护和清洁，保证内部管路畅通，防止堵塞和</w:t>
            </w:r>
            <w:r>
              <w:rPr>
                <w:spacing w:val="-1"/>
              </w:rPr>
              <w:t>渗漏。</w:t>
            </w:r>
          </w:p>
        </w:tc>
        <w:tc>
          <w:tcPr>
            <w:tcW w:w="579" w:type="dxa"/>
            <w:vAlign w:val="top"/>
          </w:tcPr>
          <w:p w14:paraId="278D5F23">
            <w:pPr>
              <w:pStyle w:val="37"/>
              <w:spacing w:before="218" w:line="220" w:lineRule="auto"/>
              <w:ind w:left="147"/>
            </w:pPr>
            <w:r>
              <w:rPr>
                <w:spacing w:val="-2"/>
              </w:rPr>
              <w:t>5分</w:t>
            </w:r>
          </w:p>
        </w:tc>
        <w:tc>
          <w:tcPr>
            <w:tcW w:w="539" w:type="dxa"/>
            <w:vAlign w:val="top"/>
          </w:tcPr>
          <w:p w14:paraId="3F07DEC7">
            <w:pPr>
              <w:rPr>
                <w:rFonts w:ascii="Arial"/>
                <w:sz w:val="21"/>
              </w:rPr>
            </w:pPr>
          </w:p>
        </w:tc>
        <w:tc>
          <w:tcPr>
            <w:tcW w:w="634" w:type="dxa"/>
            <w:vAlign w:val="top"/>
          </w:tcPr>
          <w:p w14:paraId="30CAEDEA">
            <w:pPr>
              <w:rPr>
                <w:rFonts w:ascii="Arial"/>
                <w:sz w:val="21"/>
              </w:rPr>
            </w:pPr>
          </w:p>
        </w:tc>
      </w:tr>
      <w:tr w14:paraId="2A1B8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33" w:type="dxa"/>
            <w:vMerge w:val="continue"/>
            <w:tcBorders>
              <w:top w:val="nil"/>
              <w:bottom w:val="nil"/>
            </w:tcBorders>
            <w:vAlign w:val="top"/>
          </w:tcPr>
          <w:p w14:paraId="6660DA72">
            <w:pPr>
              <w:rPr>
                <w:rFonts w:ascii="Arial"/>
                <w:sz w:val="21"/>
              </w:rPr>
            </w:pPr>
          </w:p>
        </w:tc>
        <w:tc>
          <w:tcPr>
            <w:tcW w:w="1515" w:type="dxa"/>
            <w:vAlign w:val="top"/>
          </w:tcPr>
          <w:p w14:paraId="217921B3">
            <w:pPr>
              <w:pStyle w:val="37"/>
              <w:spacing w:before="219" w:line="219" w:lineRule="auto"/>
              <w:ind w:left="91"/>
            </w:pPr>
            <w:r>
              <w:rPr>
                <w:spacing w:val="1"/>
              </w:rPr>
              <w:t>自动分析仪</w:t>
            </w:r>
          </w:p>
        </w:tc>
        <w:tc>
          <w:tcPr>
            <w:tcW w:w="4359" w:type="dxa"/>
            <w:vAlign w:val="top"/>
          </w:tcPr>
          <w:p w14:paraId="29BFE29A">
            <w:pPr>
              <w:pStyle w:val="37"/>
              <w:spacing w:before="68" w:line="264" w:lineRule="auto"/>
              <w:ind w:left="93"/>
            </w:pPr>
            <w:r>
              <w:t>定期清洗、定期更换试剂、定期更换易耗品、定期</w:t>
            </w:r>
            <w:r>
              <w:rPr>
                <w:spacing w:val="-1"/>
              </w:rPr>
              <w:t>校准仪器。</w:t>
            </w:r>
          </w:p>
        </w:tc>
        <w:tc>
          <w:tcPr>
            <w:tcW w:w="579" w:type="dxa"/>
            <w:vAlign w:val="top"/>
          </w:tcPr>
          <w:p w14:paraId="33BD7E13">
            <w:pPr>
              <w:pStyle w:val="37"/>
              <w:spacing w:before="219" w:line="220" w:lineRule="auto"/>
              <w:ind w:left="107"/>
            </w:pPr>
            <w:r>
              <w:rPr>
                <w:spacing w:val="2"/>
              </w:rPr>
              <w:t>10分</w:t>
            </w:r>
          </w:p>
        </w:tc>
        <w:tc>
          <w:tcPr>
            <w:tcW w:w="539" w:type="dxa"/>
            <w:vAlign w:val="top"/>
          </w:tcPr>
          <w:p w14:paraId="6CCC1562">
            <w:pPr>
              <w:rPr>
                <w:rFonts w:ascii="Arial"/>
                <w:sz w:val="21"/>
              </w:rPr>
            </w:pPr>
          </w:p>
        </w:tc>
        <w:tc>
          <w:tcPr>
            <w:tcW w:w="634" w:type="dxa"/>
            <w:vAlign w:val="top"/>
          </w:tcPr>
          <w:p w14:paraId="5E28214B">
            <w:pPr>
              <w:rPr>
                <w:rFonts w:ascii="Arial"/>
                <w:sz w:val="21"/>
              </w:rPr>
            </w:pPr>
          </w:p>
        </w:tc>
      </w:tr>
      <w:tr w14:paraId="2D064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9" w:hRule="atLeast"/>
        </w:trPr>
        <w:tc>
          <w:tcPr>
            <w:tcW w:w="1433" w:type="dxa"/>
            <w:vMerge w:val="continue"/>
            <w:tcBorders>
              <w:top w:val="nil"/>
              <w:bottom w:val="nil"/>
            </w:tcBorders>
            <w:vAlign w:val="top"/>
          </w:tcPr>
          <w:p w14:paraId="56B6957E">
            <w:pPr>
              <w:rPr>
                <w:rFonts w:ascii="Arial"/>
                <w:sz w:val="21"/>
              </w:rPr>
            </w:pPr>
          </w:p>
        </w:tc>
        <w:tc>
          <w:tcPr>
            <w:tcW w:w="1515" w:type="dxa"/>
            <w:vAlign w:val="top"/>
          </w:tcPr>
          <w:p w14:paraId="71837875">
            <w:pPr>
              <w:spacing w:line="352" w:lineRule="auto"/>
              <w:rPr>
                <w:rFonts w:ascii="Arial"/>
                <w:sz w:val="21"/>
              </w:rPr>
            </w:pPr>
          </w:p>
          <w:p w14:paraId="25261076">
            <w:pPr>
              <w:pStyle w:val="37"/>
              <w:spacing w:before="58" w:line="221" w:lineRule="auto"/>
              <w:ind w:left="91"/>
            </w:pPr>
            <w:r>
              <w:rPr>
                <w:spacing w:val="-2"/>
              </w:rPr>
              <w:t>应急响应</w:t>
            </w:r>
          </w:p>
        </w:tc>
        <w:tc>
          <w:tcPr>
            <w:tcW w:w="4359" w:type="dxa"/>
            <w:vAlign w:val="top"/>
          </w:tcPr>
          <w:p w14:paraId="00977E87">
            <w:pPr>
              <w:pStyle w:val="37"/>
              <w:spacing w:before="261" w:line="263" w:lineRule="auto"/>
              <w:ind w:left="93" w:right="11"/>
            </w:pPr>
            <w:r>
              <w:rPr>
                <w:spacing w:val="-1"/>
              </w:rPr>
              <w:t>故障处理以及应急检查配合，接到维修电话必须</w:t>
            </w:r>
            <w:r>
              <w:rPr>
                <w:rFonts w:hint="eastAsia"/>
                <w:spacing w:val="-1"/>
                <w:lang w:val="en-US" w:eastAsia="zh-CN"/>
              </w:rPr>
              <w:t>2</w:t>
            </w:r>
            <w:r>
              <w:rPr>
                <w:spacing w:val="12"/>
              </w:rPr>
              <w:t xml:space="preserve"> </w:t>
            </w:r>
            <w:r>
              <w:t>小时之内维修人员到场，</w:t>
            </w:r>
            <w:r>
              <w:rPr>
                <w:rFonts w:hint="eastAsia"/>
                <w:lang w:val="en-US" w:eastAsia="zh-CN"/>
              </w:rPr>
              <w:t>24</w:t>
            </w:r>
            <w:r>
              <w:t>小时修复完善。</w:t>
            </w:r>
          </w:p>
        </w:tc>
        <w:tc>
          <w:tcPr>
            <w:tcW w:w="579" w:type="dxa"/>
            <w:vAlign w:val="top"/>
          </w:tcPr>
          <w:p w14:paraId="0AA7D01C">
            <w:pPr>
              <w:spacing w:line="350" w:lineRule="auto"/>
              <w:rPr>
                <w:rFonts w:ascii="Arial"/>
                <w:sz w:val="21"/>
              </w:rPr>
            </w:pPr>
          </w:p>
          <w:p w14:paraId="3A583EE0">
            <w:pPr>
              <w:pStyle w:val="37"/>
              <w:spacing w:before="58" w:line="220" w:lineRule="auto"/>
              <w:ind w:left="107"/>
            </w:pPr>
            <w:r>
              <w:rPr>
                <w:spacing w:val="2"/>
              </w:rPr>
              <w:t>10分</w:t>
            </w:r>
          </w:p>
        </w:tc>
        <w:tc>
          <w:tcPr>
            <w:tcW w:w="539" w:type="dxa"/>
            <w:vAlign w:val="top"/>
          </w:tcPr>
          <w:p w14:paraId="19FD2D68">
            <w:pPr>
              <w:rPr>
                <w:rFonts w:ascii="Arial"/>
                <w:sz w:val="21"/>
              </w:rPr>
            </w:pPr>
          </w:p>
        </w:tc>
        <w:tc>
          <w:tcPr>
            <w:tcW w:w="634" w:type="dxa"/>
            <w:vAlign w:val="top"/>
          </w:tcPr>
          <w:p w14:paraId="6605E478">
            <w:pPr>
              <w:rPr>
                <w:rFonts w:ascii="Arial"/>
                <w:sz w:val="21"/>
              </w:rPr>
            </w:pPr>
          </w:p>
        </w:tc>
      </w:tr>
      <w:tr w14:paraId="31C8E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33" w:type="dxa"/>
            <w:vMerge w:val="continue"/>
            <w:tcBorders>
              <w:top w:val="nil"/>
            </w:tcBorders>
            <w:vAlign w:val="top"/>
          </w:tcPr>
          <w:p w14:paraId="471E41E0">
            <w:pPr>
              <w:rPr>
                <w:rFonts w:ascii="Arial"/>
                <w:sz w:val="21"/>
              </w:rPr>
            </w:pPr>
          </w:p>
        </w:tc>
        <w:tc>
          <w:tcPr>
            <w:tcW w:w="1515" w:type="dxa"/>
            <w:vAlign w:val="top"/>
          </w:tcPr>
          <w:p w14:paraId="5790E128">
            <w:pPr>
              <w:pStyle w:val="37"/>
              <w:spacing w:before="181" w:line="219" w:lineRule="auto"/>
              <w:ind w:left="91"/>
            </w:pPr>
            <w:r>
              <w:rPr>
                <w:spacing w:val="-2"/>
              </w:rPr>
              <w:t>手续完备</w:t>
            </w:r>
          </w:p>
        </w:tc>
        <w:tc>
          <w:tcPr>
            <w:tcW w:w="4359" w:type="dxa"/>
            <w:vAlign w:val="top"/>
          </w:tcPr>
          <w:p w14:paraId="618AF98B">
            <w:pPr>
              <w:pStyle w:val="37"/>
              <w:spacing w:before="181" w:line="219" w:lineRule="auto"/>
              <w:ind w:left="93"/>
            </w:pPr>
            <w:r>
              <w:t>各种登统计手续齐全，缺1项扣1分，扣完为止。</w:t>
            </w:r>
          </w:p>
        </w:tc>
        <w:tc>
          <w:tcPr>
            <w:tcW w:w="579" w:type="dxa"/>
            <w:vAlign w:val="top"/>
          </w:tcPr>
          <w:p w14:paraId="214EB5AF">
            <w:pPr>
              <w:pStyle w:val="37"/>
              <w:spacing w:before="181" w:line="220" w:lineRule="auto"/>
              <w:ind w:left="147"/>
            </w:pPr>
            <w:r>
              <w:rPr>
                <w:spacing w:val="-2"/>
              </w:rPr>
              <w:t>5分</w:t>
            </w:r>
          </w:p>
        </w:tc>
        <w:tc>
          <w:tcPr>
            <w:tcW w:w="539" w:type="dxa"/>
            <w:vAlign w:val="top"/>
          </w:tcPr>
          <w:p w14:paraId="5BA2E8B3">
            <w:pPr>
              <w:rPr>
                <w:rFonts w:ascii="Arial"/>
                <w:sz w:val="21"/>
              </w:rPr>
            </w:pPr>
          </w:p>
        </w:tc>
        <w:tc>
          <w:tcPr>
            <w:tcW w:w="634" w:type="dxa"/>
            <w:vAlign w:val="top"/>
          </w:tcPr>
          <w:p w14:paraId="1DC3B262">
            <w:pPr>
              <w:rPr>
                <w:rFonts w:ascii="Arial"/>
                <w:sz w:val="21"/>
              </w:rPr>
            </w:pPr>
          </w:p>
        </w:tc>
      </w:tr>
      <w:tr w14:paraId="0AF1C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433" w:type="dxa"/>
            <w:vAlign w:val="top"/>
          </w:tcPr>
          <w:p w14:paraId="2DAE3DE7">
            <w:pPr>
              <w:spacing w:line="320" w:lineRule="auto"/>
              <w:rPr>
                <w:rFonts w:ascii="Arial"/>
                <w:sz w:val="21"/>
              </w:rPr>
            </w:pPr>
          </w:p>
          <w:p w14:paraId="6A9EFBF5">
            <w:pPr>
              <w:pStyle w:val="37"/>
              <w:spacing w:before="59" w:line="219" w:lineRule="auto"/>
              <w:ind w:left="254"/>
            </w:pPr>
            <w:r>
              <w:rPr>
                <w:spacing w:val="5"/>
              </w:rPr>
              <w:t>检修(10分)</w:t>
            </w:r>
          </w:p>
        </w:tc>
        <w:tc>
          <w:tcPr>
            <w:tcW w:w="1515" w:type="dxa"/>
            <w:vAlign w:val="top"/>
          </w:tcPr>
          <w:p w14:paraId="387EAD7A">
            <w:pPr>
              <w:spacing w:line="320" w:lineRule="auto"/>
              <w:rPr>
                <w:rFonts w:ascii="Arial"/>
                <w:sz w:val="21"/>
              </w:rPr>
            </w:pPr>
          </w:p>
          <w:p w14:paraId="1BAB07AC">
            <w:pPr>
              <w:pStyle w:val="37"/>
              <w:spacing w:before="59" w:line="219" w:lineRule="auto"/>
              <w:ind w:left="91"/>
            </w:pPr>
            <w:r>
              <w:rPr>
                <w:spacing w:val="1"/>
              </w:rPr>
              <w:t>日常检修</w:t>
            </w:r>
          </w:p>
        </w:tc>
        <w:tc>
          <w:tcPr>
            <w:tcW w:w="4359" w:type="dxa"/>
            <w:vAlign w:val="top"/>
          </w:tcPr>
          <w:p w14:paraId="7D7C5880">
            <w:pPr>
              <w:pStyle w:val="37"/>
              <w:spacing w:before="71" w:line="286" w:lineRule="auto"/>
              <w:ind w:left="93"/>
              <w:jc w:val="both"/>
            </w:pPr>
            <w:r>
              <w:rPr>
                <w:spacing w:val="-2"/>
              </w:rPr>
              <w:t>系统进行检修。更换新的仪器或修复后的仪器按规</w:t>
            </w:r>
            <w:r>
              <w:t>定进行必要的检测和校准，各项指标达到国家相关</w:t>
            </w:r>
            <w:r>
              <w:rPr>
                <w:spacing w:val="1"/>
              </w:rPr>
              <w:t xml:space="preserve"> </w:t>
            </w:r>
            <w:r>
              <w:rPr>
                <w:spacing w:val="-1"/>
              </w:rPr>
              <w:t>要求。</w:t>
            </w:r>
          </w:p>
        </w:tc>
        <w:tc>
          <w:tcPr>
            <w:tcW w:w="579" w:type="dxa"/>
            <w:vAlign w:val="top"/>
          </w:tcPr>
          <w:p w14:paraId="259AA0B5">
            <w:pPr>
              <w:spacing w:line="321" w:lineRule="auto"/>
              <w:rPr>
                <w:rFonts w:ascii="Arial"/>
                <w:sz w:val="21"/>
              </w:rPr>
            </w:pPr>
          </w:p>
          <w:p w14:paraId="13A9CFA7">
            <w:pPr>
              <w:pStyle w:val="37"/>
              <w:spacing w:before="58" w:line="220" w:lineRule="auto"/>
              <w:ind w:left="107"/>
            </w:pPr>
            <w:r>
              <w:rPr>
                <w:spacing w:val="2"/>
              </w:rPr>
              <w:t>10分</w:t>
            </w:r>
          </w:p>
        </w:tc>
        <w:tc>
          <w:tcPr>
            <w:tcW w:w="539" w:type="dxa"/>
            <w:vAlign w:val="top"/>
          </w:tcPr>
          <w:p w14:paraId="5471C5CE">
            <w:pPr>
              <w:rPr>
                <w:rFonts w:ascii="Arial"/>
                <w:sz w:val="21"/>
              </w:rPr>
            </w:pPr>
          </w:p>
        </w:tc>
        <w:tc>
          <w:tcPr>
            <w:tcW w:w="634" w:type="dxa"/>
            <w:vAlign w:val="top"/>
          </w:tcPr>
          <w:p w14:paraId="469FCC0F">
            <w:pPr>
              <w:rPr>
                <w:rFonts w:ascii="Arial"/>
                <w:sz w:val="21"/>
              </w:rPr>
            </w:pPr>
          </w:p>
        </w:tc>
      </w:tr>
      <w:tr w14:paraId="5CAFA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1433" w:type="dxa"/>
            <w:vMerge w:val="restart"/>
            <w:tcBorders>
              <w:bottom w:val="nil"/>
            </w:tcBorders>
            <w:vAlign w:val="top"/>
          </w:tcPr>
          <w:p w14:paraId="42769E42">
            <w:pPr>
              <w:spacing w:line="276" w:lineRule="auto"/>
              <w:rPr>
                <w:rFonts w:ascii="Arial"/>
                <w:sz w:val="21"/>
              </w:rPr>
            </w:pPr>
          </w:p>
          <w:p w14:paraId="3DC5F260">
            <w:pPr>
              <w:spacing w:line="276" w:lineRule="auto"/>
              <w:rPr>
                <w:rFonts w:ascii="Arial"/>
                <w:sz w:val="21"/>
              </w:rPr>
            </w:pPr>
          </w:p>
          <w:p w14:paraId="520158BF">
            <w:pPr>
              <w:spacing w:line="276" w:lineRule="auto"/>
              <w:rPr>
                <w:rFonts w:ascii="Arial"/>
                <w:sz w:val="21"/>
              </w:rPr>
            </w:pPr>
          </w:p>
          <w:p w14:paraId="73B28910">
            <w:pPr>
              <w:pStyle w:val="37"/>
              <w:spacing w:before="58" w:line="254" w:lineRule="auto"/>
              <w:ind w:left="75" w:right="157" w:firstLine="89"/>
            </w:pPr>
            <w:r>
              <w:rPr>
                <w:spacing w:val="3"/>
              </w:rPr>
              <w:t>质量保证与质</w:t>
            </w:r>
            <w:r>
              <w:rPr>
                <w:spacing w:val="1"/>
              </w:rPr>
              <w:t xml:space="preserve"> </w:t>
            </w:r>
            <w:r>
              <w:rPr>
                <w:spacing w:val="4"/>
              </w:rPr>
              <w:t>量控制(40分)</w:t>
            </w:r>
          </w:p>
        </w:tc>
        <w:tc>
          <w:tcPr>
            <w:tcW w:w="1515" w:type="dxa"/>
            <w:vAlign w:val="top"/>
          </w:tcPr>
          <w:p w14:paraId="4652754E">
            <w:pPr>
              <w:pStyle w:val="37"/>
              <w:spacing w:before="72" w:line="219" w:lineRule="auto"/>
              <w:ind w:left="91"/>
            </w:pPr>
            <w:r>
              <w:rPr>
                <w:spacing w:val="6"/>
              </w:rPr>
              <w:t>操作人员</w:t>
            </w:r>
          </w:p>
        </w:tc>
        <w:tc>
          <w:tcPr>
            <w:tcW w:w="4359" w:type="dxa"/>
            <w:vAlign w:val="top"/>
          </w:tcPr>
          <w:p w14:paraId="26A3ACB6">
            <w:pPr>
              <w:pStyle w:val="37"/>
              <w:spacing w:before="72" w:line="219" w:lineRule="auto"/>
              <w:ind w:left="93"/>
            </w:pPr>
            <w:r>
              <w:t>人员培训符合要求，人员必须持证上岗。</w:t>
            </w:r>
          </w:p>
        </w:tc>
        <w:tc>
          <w:tcPr>
            <w:tcW w:w="579" w:type="dxa"/>
            <w:vAlign w:val="top"/>
          </w:tcPr>
          <w:p w14:paraId="4B9D2070">
            <w:pPr>
              <w:pStyle w:val="37"/>
              <w:spacing w:before="72" w:line="220" w:lineRule="auto"/>
              <w:ind w:left="147"/>
            </w:pPr>
            <w:r>
              <w:rPr>
                <w:spacing w:val="-2"/>
              </w:rPr>
              <w:t>5分</w:t>
            </w:r>
          </w:p>
        </w:tc>
        <w:tc>
          <w:tcPr>
            <w:tcW w:w="539" w:type="dxa"/>
            <w:vAlign w:val="top"/>
          </w:tcPr>
          <w:p w14:paraId="70B8FFBF">
            <w:pPr>
              <w:rPr>
                <w:rFonts w:ascii="Arial"/>
                <w:sz w:val="21"/>
              </w:rPr>
            </w:pPr>
          </w:p>
        </w:tc>
        <w:tc>
          <w:tcPr>
            <w:tcW w:w="634" w:type="dxa"/>
            <w:vAlign w:val="top"/>
          </w:tcPr>
          <w:p w14:paraId="64B2382F">
            <w:pPr>
              <w:rPr>
                <w:rFonts w:ascii="Arial"/>
                <w:sz w:val="21"/>
              </w:rPr>
            </w:pPr>
          </w:p>
        </w:tc>
      </w:tr>
      <w:tr w14:paraId="7951B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33" w:type="dxa"/>
            <w:vMerge w:val="continue"/>
            <w:tcBorders>
              <w:top w:val="nil"/>
              <w:bottom w:val="nil"/>
            </w:tcBorders>
            <w:vAlign w:val="top"/>
          </w:tcPr>
          <w:p w14:paraId="52747463">
            <w:pPr>
              <w:rPr>
                <w:rFonts w:ascii="Arial"/>
                <w:sz w:val="21"/>
              </w:rPr>
            </w:pPr>
          </w:p>
        </w:tc>
        <w:tc>
          <w:tcPr>
            <w:tcW w:w="1515" w:type="dxa"/>
            <w:vAlign w:val="top"/>
          </w:tcPr>
          <w:p w14:paraId="21EC8F04">
            <w:pPr>
              <w:pStyle w:val="37"/>
              <w:spacing w:before="222" w:line="220" w:lineRule="auto"/>
              <w:ind w:left="91"/>
            </w:pPr>
            <w:r>
              <w:rPr>
                <w:spacing w:val="-2"/>
              </w:rPr>
              <w:t>标准溶液</w:t>
            </w:r>
          </w:p>
        </w:tc>
        <w:tc>
          <w:tcPr>
            <w:tcW w:w="4359" w:type="dxa"/>
            <w:vAlign w:val="top"/>
          </w:tcPr>
          <w:p w14:paraId="4BB4F0C5">
            <w:pPr>
              <w:pStyle w:val="37"/>
              <w:spacing w:before="82" w:line="268" w:lineRule="auto"/>
              <w:ind w:left="93" w:firstLine="29"/>
            </w:pPr>
            <w:r>
              <w:rPr>
                <w:spacing w:val="-2"/>
              </w:rPr>
              <w:t>对标准溶液核查，结果符合要求，不能以次充好，</w:t>
            </w:r>
            <w:r>
              <w:rPr>
                <w:spacing w:val="-1"/>
              </w:rPr>
              <w:t>以假乱真。</w:t>
            </w:r>
          </w:p>
        </w:tc>
        <w:tc>
          <w:tcPr>
            <w:tcW w:w="579" w:type="dxa"/>
            <w:vAlign w:val="top"/>
          </w:tcPr>
          <w:p w14:paraId="485DF01B">
            <w:pPr>
              <w:pStyle w:val="37"/>
              <w:spacing w:before="222" w:line="220" w:lineRule="auto"/>
              <w:ind w:left="107"/>
            </w:pPr>
            <w:r>
              <w:rPr>
                <w:spacing w:val="2"/>
              </w:rPr>
              <w:t>1</w:t>
            </w:r>
            <w:r>
              <w:rPr>
                <w:rFonts w:hint="eastAsia"/>
                <w:spacing w:val="2"/>
                <w:lang w:val="en-US" w:eastAsia="zh-CN"/>
              </w:rPr>
              <w:t>0</w:t>
            </w:r>
            <w:r>
              <w:rPr>
                <w:spacing w:val="2"/>
              </w:rPr>
              <w:t>分</w:t>
            </w:r>
          </w:p>
        </w:tc>
        <w:tc>
          <w:tcPr>
            <w:tcW w:w="539" w:type="dxa"/>
            <w:vAlign w:val="top"/>
          </w:tcPr>
          <w:p w14:paraId="4E3494C0">
            <w:pPr>
              <w:rPr>
                <w:rFonts w:ascii="Arial"/>
                <w:sz w:val="21"/>
              </w:rPr>
            </w:pPr>
          </w:p>
        </w:tc>
        <w:tc>
          <w:tcPr>
            <w:tcW w:w="634" w:type="dxa"/>
            <w:vAlign w:val="top"/>
          </w:tcPr>
          <w:p w14:paraId="31341C71">
            <w:pPr>
              <w:rPr>
                <w:rFonts w:ascii="Arial"/>
                <w:sz w:val="21"/>
              </w:rPr>
            </w:pPr>
          </w:p>
        </w:tc>
      </w:tr>
      <w:tr w14:paraId="66035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33" w:type="dxa"/>
            <w:vMerge w:val="continue"/>
            <w:tcBorders>
              <w:top w:val="nil"/>
              <w:bottom w:val="nil"/>
            </w:tcBorders>
            <w:vAlign w:val="top"/>
          </w:tcPr>
          <w:p w14:paraId="15D353F0">
            <w:pPr>
              <w:rPr>
                <w:rFonts w:ascii="Arial"/>
                <w:sz w:val="21"/>
              </w:rPr>
            </w:pPr>
          </w:p>
        </w:tc>
        <w:tc>
          <w:tcPr>
            <w:tcW w:w="1515" w:type="dxa"/>
            <w:vAlign w:val="top"/>
          </w:tcPr>
          <w:p w14:paraId="677745AB">
            <w:pPr>
              <w:pStyle w:val="37"/>
              <w:spacing w:before="223" w:line="219" w:lineRule="auto"/>
              <w:ind w:left="91"/>
            </w:pPr>
            <w:r>
              <w:rPr>
                <w:spacing w:val="-2"/>
              </w:rPr>
              <w:t>质控样比对</w:t>
            </w:r>
          </w:p>
        </w:tc>
        <w:tc>
          <w:tcPr>
            <w:tcW w:w="4359" w:type="dxa"/>
            <w:vAlign w:val="top"/>
          </w:tcPr>
          <w:p w14:paraId="0EB7FF00">
            <w:pPr>
              <w:pStyle w:val="37"/>
              <w:spacing w:before="73" w:line="269" w:lineRule="auto"/>
              <w:ind w:left="93" w:right="9"/>
            </w:pPr>
            <w:r>
              <w:rPr>
                <w:spacing w:val="-1"/>
              </w:rPr>
              <w:t>每月进行设备上的质控样比对试验，结果符合国家</w:t>
            </w:r>
            <w:r>
              <w:t>相关规定要求。</w:t>
            </w:r>
          </w:p>
        </w:tc>
        <w:tc>
          <w:tcPr>
            <w:tcW w:w="579" w:type="dxa"/>
            <w:vAlign w:val="top"/>
          </w:tcPr>
          <w:p w14:paraId="3176F55E">
            <w:pPr>
              <w:pStyle w:val="37"/>
              <w:spacing w:before="223" w:line="220" w:lineRule="auto"/>
              <w:ind w:left="107"/>
            </w:pPr>
            <w:r>
              <w:rPr>
                <w:spacing w:val="2"/>
              </w:rPr>
              <w:t>15分</w:t>
            </w:r>
          </w:p>
        </w:tc>
        <w:tc>
          <w:tcPr>
            <w:tcW w:w="539" w:type="dxa"/>
            <w:vAlign w:val="top"/>
          </w:tcPr>
          <w:p w14:paraId="20485953">
            <w:pPr>
              <w:rPr>
                <w:rFonts w:ascii="Arial"/>
                <w:sz w:val="21"/>
              </w:rPr>
            </w:pPr>
          </w:p>
        </w:tc>
        <w:tc>
          <w:tcPr>
            <w:tcW w:w="634" w:type="dxa"/>
            <w:vAlign w:val="top"/>
          </w:tcPr>
          <w:p w14:paraId="6DB71906">
            <w:pPr>
              <w:rPr>
                <w:rFonts w:ascii="Arial"/>
                <w:sz w:val="21"/>
              </w:rPr>
            </w:pPr>
          </w:p>
        </w:tc>
      </w:tr>
      <w:tr w14:paraId="6C35F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1433" w:type="dxa"/>
            <w:vMerge w:val="continue"/>
            <w:tcBorders>
              <w:top w:val="nil"/>
            </w:tcBorders>
            <w:vAlign w:val="top"/>
          </w:tcPr>
          <w:p w14:paraId="1F0B6C7B">
            <w:pPr>
              <w:rPr>
                <w:rFonts w:ascii="Arial"/>
                <w:sz w:val="21"/>
              </w:rPr>
            </w:pPr>
          </w:p>
        </w:tc>
        <w:tc>
          <w:tcPr>
            <w:tcW w:w="1515" w:type="dxa"/>
            <w:vAlign w:val="top"/>
          </w:tcPr>
          <w:p w14:paraId="52D96C14">
            <w:pPr>
              <w:pStyle w:val="37"/>
              <w:spacing w:before="244" w:line="219" w:lineRule="auto"/>
              <w:ind w:left="91"/>
            </w:pPr>
            <w:r>
              <w:rPr>
                <w:spacing w:val="-2"/>
              </w:rPr>
              <w:t>仪器技术指标</w:t>
            </w:r>
          </w:p>
        </w:tc>
        <w:tc>
          <w:tcPr>
            <w:tcW w:w="4359" w:type="dxa"/>
            <w:vAlign w:val="top"/>
          </w:tcPr>
          <w:p w14:paraId="3B84EA54">
            <w:pPr>
              <w:pStyle w:val="37"/>
              <w:spacing w:before="104" w:line="267" w:lineRule="auto"/>
              <w:ind w:left="93" w:right="9"/>
            </w:pPr>
            <w:r>
              <w:rPr>
                <w:spacing w:val="-1"/>
              </w:rPr>
              <w:t>仪器各项技术指标在标准规定的范围内，按国家规定，出具相关质量技术检测报告放置现场。</w:t>
            </w:r>
          </w:p>
        </w:tc>
        <w:tc>
          <w:tcPr>
            <w:tcW w:w="579" w:type="dxa"/>
            <w:vAlign w:val="top"/>
          </w:tcPr>
          <w:p w14:paraId="6823E5D2">
            <w:pPr>
              <w:pStyle w:val="37"/>
              <w:spacing w:before="244" w:line="220" w:lineRule="auto"/>
              <w:ind w:left="147"/>
            </w:pPr>
            <w:r>
              <w:rPr>
                <w:rFonts w:hint="eastAsia"/>
                <w:spacing w:val="-2"/>
                <w:lang w:val="en-US" w:eastAsia="zh-CN"/>
              </w:rPr>
              <w:t>10</w:t>
            </w:r>
            <w:r>
              <w:rPr>
                <w:spacing w:val="-2"/>
              </w:rPr>
              <w:t>分</w:t>
            </w:r>
          </w:p>
        </w:tc>
        <w:tc>
          <w:tcPr>
            <w:tcW w:w="539" w:type="dxa"/>
            <w:vAlign w:val="top"/>
          </w:tcPr>
          <w:p w14:paraId="0DEACEB6">
            <w:pPr>
              <w:rPr>
                <w:rFonts w:ascii="Arial"/>
                <w:sz w:val="21"/>
              </w:rPr>
            </w:pPr>
          </w:p>
        </w:tc>
        <w:tc>
          <w:tcPr>
            <w:tcW w:w="634" w:type="dxa"/>
            <w:vAlign w:val="top"/>
          </w:tcPr>
          <w:p w14:paraId="5416D70A">
            <w:pPr>
              <w:rPr>
                <w:rFonts w:ascii="Arial"/>
                <w:sz w:val="21"/>
              </w:rPr>
            </w:pPr>
          </w:p>
        </w:tc>
      </w:tr>
      <w:tr w14:paraId="2DB0A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33" w:type="dxa"/>
            <w:vMerge w:val="restart"/>
            <w:tcBorders>
              <w:bottom w:val="nil"/>
            </w:tcBorders>
            <w:vAlign w:val="top"/>
          </w:tcPr>
          <w:p w14:paraId="7733928E">
            <w:pPr>
              <w:spacing w:line="246" w:lineRule="auto"/>
              <w:rPr>
                <w:rFonts w:ascii="Arial"/>
                <w:sz w:val="21"/>
              </w:rPr>
            </w:pPr>
          </w:p>
          <w:p w14:paraId="61079F06">
            <w:pPr>
              <w:spacing w:line="247" w:lineRule="auto"/>
              <w:rPr>
                <w:rFonts w:ascii="Arial"/>
                <w:sz w:val="21"/>
              </w:rPr>
            </w:pPr>
          </w:p>
          <w:p w14:paraId="7405D18C">
            <w:pPr>
              <w:pStyle w:val="37"/>
              <w:spacing w:before="59" w:line="219" w:lineRule="auto"/>
              <w:ind w:left="164"/>
            </w:pPr>
            <w:r>
              <w:rPr>
                <w:spacing w:val="-2"/>
              </w:rPr>
              <w:t>仪器技术档案</w:t>
            </w:r>
          </w:p>
          <w:p w14:paraId="2F30B204">
            <w:pPr>
              <w:pStyle w:val="37"/>
              <w:spacing w:before="96" w:line="220" w:lineRule="auto"/>
              <w:ind w:left="434"/>
            </w:pPr>
            <w:r>
              <w:rPr>
                <w:spacing w:val="7"/>
              </w:rPr>
              <w:t>(10分)</w:t>
            </w:r>
          </w:p>
        </w:tc>
        <w:tc>
          <w:tcPr>
            <w:tcW w:w="1515" w:type="dxa"/>
            <w:vAlign w:val="top"/>
          </w:tcPr>
          <w:p w14:paraId="65AD78B8">
            <w:pPr>
              <w:pStyle w:val="37"/>
              <w:spacing w:before="84" w:line="269" w:lineRule="auto"/>
              <w:ind w:left="91" w:right="246"/>
            </w:pPr>
            <w:r>
              <w:rPr>
                <w:spacing w:val="2"/>
              </w:rPr>
              <w:t xml:space="preserve">仪器操作使用说明 </w:t>
            </w:r>
            <w:r>
              <w:rPr>
                <w:spacing w:val="-2"/>
              </w:rPr>
              <w:t>或维护技术要求</w:t>
            </w:r>
          </w:p>
        </w:tc>
        <w:tc>
          <w:tcPr>
            <w:tcW w:w="4359" w:type="dxa"/>
            <w:vAlign w:val="top"/>
          </w:tcPr>
          <w:p w14:paraId="6BC08223">
            <w:pPr>
              <w:pStyle w:val="37"/>
              <w:spacing w:before="225" w:line="219" w:lineRule="auto"/>
              <w:ind w:left="93"/>
            </w:pPr>
            <w:r>
              <w:t>有仪器操作使用说明及维护规程，详细、完整。</w:t>
            </w:r>
          </w:p>
        </w:tc>
        <w:tc>
          <w:tcPr>
            <w:tcW w:w="579" w:type="dxa"/>
            <w:vAlign w:val="top"/>
          </w:tcPr>
          <w:p w14:paraId="5A4AF39D">
            <w:pPr>
              <w:pStyle w:val="37"/>
              <w:spacing w:before="225" w:line="220" w:lineRule="auto"/>
              <w:ind w:left="147"/>
            </w:pPr>
            <w:r>
              <w:rPr>
                <w:rFonts w:hint="eastAsia"/>
                <w:spacing w:val="-2"/>
                <w:lang w:val="en-US" w:eastAsia="zh-CN"/>
              </w:rPr>
              <w:t>3</w:t>
            </w:r>
            <w:r>
              <w:rPr>
                <w:spacing w:val="-2"/>
              </w:rPr>
              <w:t>分</w:t>
            </w:r>
          </w:p>
        </w:tc>
        <w:tc>
          <w:tcPr>
            <w:tcW w:w="539" w:type="dxa"/>
            <w:vAlign w:val="top"/>
          </w:tcPr>
          <w:p w14:paraId="2F3E4557">
            <w:pPr>
              <w:rPr>
                <w:rFonts w:ascii="Arial"/>
                <w:sz w:val="21"/>
              </w:rPr>
            </w:pPr>
          </w:p>
        </w:tc>
        <w:tc>
          <w:tcPr>
            <w:tcW w:w="634" w:type="dxa"/>
            <w:vAlign w:val="top"/>
          </w:tcPr>
          <w:p w14:paraId="7E4F75E2">
            <w:pPr>
              <w:rPr>
                <w:rFonts w:ascii="Arial"/>
                <w:sz w:val="21"/>
              </w:rPr>
            </w:pPr>
          </w:p>
        </w:tc>
      </w:tr>
      <w:tr w14:paraId="66ABD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433" w:type="dxa"/>
            <w:vMerge w:val="continue"/>
            <w:tcBorders>
              <w:top w:val="nil"/>
            </w:tcBorders>
            <w:vAlign w:val="top"/>
          </w:tcPr>
          <w:p w14:paraId="7C7D5CF3">
            <w:pPr>
              <w:rPr>
                <w:rFonts w:ascii="Arial"/>
                <w:sz w:val="21"/>
              </w:rPr>
            </w:pPr>
          </w:p>
        </w:tc>
        <w:tc>
          <w:tcPr>
            <w:tcW w:w="1515" w:type="dxa"/>
            <w:vAlign w:val="top"/>
          </w:tcPr>
          <w:p w14:paraId="41778D51">
            <w:pPr>
              <w:pStyle w:val="37"/>
              <w:spacing w:before="235" w:line="266" w:lineRule="auto"/>
              <w:ind w:left="91" w:right="273"/>
            </w:pPr>
            <w:r>
              <w:rPr>
                <w:spacing w:val="-1"/>
              </w:rPr>
              <w:t>仪器技术运行维修</w:t>
            </w:r>
            <w:r>
              <w:t xml:space="preserve"> </w:t>
            </w:r>
            <w:r>
              <w:rPr>
                <w:spacing w:val="-2"/>
              </w:rPr>
              <w:t>记录</w:t>
            </w:r>
          </w:p>
        </w:tc>
        <w:tc>
          <w:tcPr>
            <w:tcW w:w="4359" w:type="dxa"/>
            <w:vAlign w:val="top"/>
          </w:tcPr>
          <w:p w14:paraId="114BF715">
            <w:pPr>
              <w:pStyle w:val="37"/>
              <w:spacing w:before="73" w:line="289" w:lineRule="auto"/>
              <w:ind w:left="93" w:firstLine="19"/>
              <w:jc w:val="both"/>
            </w:pPr>
            <w:r>
              <w:rPr>
                <w:spacing w:val="-9"/>
              </w:rPr>
              <w:t>例行检查记录、校验等记录、故障记录及处理报告、</w:t>
            </w:r>
            <w:r>
              <w:rPr>
                <w:spacing w:val="8"/>
              </w:rPr>
              <w:t xml:space="preserve"> </w:t>
            </w:r>
            <w:r>
              <w:rPr>
                <w:spacing w:val="-5"/>
              </w:rPr>
              <w:t>检修记录、运行记录等。记录清晰、完整，符合要</w:t>
            </w:r>
            <w:r>
              <w:rPr>
                <w:spacing w:val="8"/>
              </w:rPr>
              <w:t xml:space="preserve">  </w:t>
            </w:r>
            <w:r>
              <w:rPr>
                <w:spacing w:val="-2"/>
              </w:rPr>
              <w:t>求。</w:t>
            </w:r>
          </w:p>
        </w:tc>
        <w:tc>
          <w:tcPr>
            <w:tcW w:w="579" w:type="dxa"/>
            <w:vAlign w:val="top"/>
          </w:tcPr>
          <w:p w14:paraId="24C48D70">
            <w:pPr>
              <w:spacing w:line="326" w:lineRule="auto"/>
              <w:rPr>
                <w:rFonts w:ascii="Arial"/>
                <w:sz w:val="21"/>
              </w:rPr>
            </w:pPr>
          </w:p>
          <w:p w14:paraId="5EDE98B0">
            <w:pPr>
              <w:pStyle w:val="37"/>
              <w:spacing w:before="58" w:line="220" w:lineRule="auto"/>
              <w:ind w:left="147"/>
            </w:pPr>
            <w:r>
              <w:rPr>
                <w:rFonts w:hint="eastAsia"/>
                <w:spacing w:val="-2"/>
                <w:lang w:val="en-US" w:eastAsia="zh-CN"/>
              </w:rPr>
              <w:t>7</w:t>
            </w:r>
            <w:r>
              <w:rPr>
                <w:spacing w:val="-2"/>
              </w:rPr>
              <w:t>分</w:t>
            </w:r>
          </w:p>
        </w:tc>
        <w:tc>
          <w:tcPr>
            <w:tcW w:w="539" w:type="dxa"/>
            <w:vAlign w:val="top"/>
          </w:tcPr>
          <w:p w14:paraId="4E391AC7">
            <w:pPr>
              <w:rPr>
                <w:rFonts w:ascii="Arial"/>
                <w:sz w:val="21"/>
              </w:rPr>
            </w:pPr>
          </w:p>
        </w:tc>
        <w:tc>
          <w:tcPr>
            <w:tcW w:w="634" w:type="dxa"/>
            <w:vAlign w:val="top"/>
          </w:tcPr>
          <w:p w14:paraId="3C6BCC2E">
            <w:pPr>
              <w:rPr>
                <w:rFonts w:ascii="Arial"/>
                <w:sz w:val="21"/>
              </w:rPr>
            </w:pPr>
          </w:p>
        </w:tc>
      </w:tr>
      <w:tr w14:paraId="79FFC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7886" w:type="dxa"/>
            <w:gridSpan w:val="4"/>
            <w:vAlign w:val="top"/>
          </w:tcPr>
          <w:p w14:paraId="0BE4692D">
            <w:pPr>
              <w:pStyle w:val="37"/>
              <w:spacing w:before="187" w:line="219" w:lineRule="auto"/>
              <w:ind w:left="3694"/>
            </w:pPr>
            <w:r>
              <w:rPr>
                <w:spacing w:val="-3"/>
              </w:rPr>
              <w:t>总得分</w:t>
            </w:r>
          </w:p>
        </w:tc>
        <w:tc>
          <w:tcPr>
            <w:tcW w:w="539" w:type="dxa"/>
            <w:vAlign w:val="top"/>
          </w:tcPr>
          <w:p w14:paraId="4C070B35">
            <w:pPr>
              <w:rPr>
                <w:rFonts w:ascii="Arial"/>
                <w:sz w:val="21"/>
              </w:rPr>
            </w:pPr>
          </w:p>
        </w:tc>
        <w:tc>
          <w:tcPr>
            <w:tcW w:w="634" w:type="dxa"/>
            <w:vAlign w:val="top"/>
          </w:tcPr>
          <w:p w14:paraId="41B1214D">
            <w:pPr>
              <w:rPr>
                <w:rFonts w:ascii="Arial"/>
                <w:sz w:val="21"/>
              </w:rPr>
            </w:pPr>
          </w:p>
        </w:tc>
      </w:tr>
    </w:tbl>
    <w:p w14:paraId="0E83D736">
      <w:pPr>
        <w:pStyle w:val="10"/>
        <w:spacing w:before="60" w:line="294" w:lineRule="auto"/>
        <w:ind w:left="35" w:right="283" w:firstLine="30"/>
        <w:jc w:val="both"/>
        <w:rPr>
          <w:spacing w:val="8"/>
        </w:rPr>
      </w:pPr>
      <w:r>
        <w:t>备注：1、</w:t>
      </w:r>
      <w:r>
        <w:rPr>
          <w:rFonts w:hint="eastAsia"/>
          <w:lang w:eastAsia="zh-CN"/>
        </w:rPr>
        <w:t>进入运维期，</w:t>
      </w:r>
      <w:r>
        <w:t>每3个月甲方对乙方运维管理情况进行一次考核打分，作为</w:t>
      </w:r>
      <w:r>
        <w:rPr>
          <w:spacing w:val="-1"/>
        </w:rPr>
        <w:t>每</w:t>
      </w:r>
      <w:r>
        <w:rPr>
          <w:rFonts w:hint="eastAsia"/>
          <w:spacing w:val="-1"/>
          <w:lang w:eastAsia="zh-CN"/>
        </w:rPr>
        <w:t>季</w:t>
      </w:r>
      <w:r>
        <w:rPr>
          <w:spacing w:val="-1"/>
        </w:rPr>
        <w:t>结算运维款项的依据</w:t>
      </w:r>
      <w:r>
        <w:t xml:space="preserve">  </w:t>
      </w:r>
      <w:r>
        <w:rPr>
          <w:spacing w:val="6"/>
        </w:rPr>
        <w:t>2、</w:t>
      </w:r>
      <w:r>
        <w:rPr>
          <w:spacing w:val="-42"/>
        </w:rPr>
        <w:t xml:space="preserve"> </w:t>
      </w:r>
      <w:r>
        <w:rPr>
          <w:spacing w:val="6"/>
        </w:rPr>
        <w:t>打分付款情况，8</w:t>
      </w:r>
      <w:r>
        <w:rPr>
          <w:rFonts w:hint="eastAsia"/>
          <w:spacing w:val="6"/>
          <w:lang w:val="en-US" w:eastAsia="zh-CN"/>
        </w:rPr>
        <w:t>8</w:t>
      </w:r>
      <w:r>
        <w:rPr>
          <w:spacing w:val="6"/>
        </w:rPr>
        <w:t>分以上为优秀(付运维全款),</w:t>
      </w:r>
      <w:r>
        <w:rPr>
          <w:rFonts w:hint="eastAsia"/>
          <w:spacing w:val="6"/>
          <w:lang w:val="en-US" w:eastAsia="zh-CN"/>
        </w:rPr>
        <w:t>88</w:t>
      </w:r>
      <w:r>
        <w:rPr>
          <w:spacing w:val="6"/>
        </w:rPr>
        <w:t>分</w:t>
      </w:r>
      <w:r>
        <w:rPr>
          <w:spacing w:val="5"/>
        </w:rPr>
        <w:t>至</w:t>
      </w:r>
      <w:r>
        <w:rPr>
          <w:rFonts w:hint="eastAsia"/>
          <w:spacing w:val="5"/>
          <w:lang w:val="en-US" w:eastAsia="zh-CN"/>
        </w:rPr>
        <w:t>78</w:t>
      </w:r>
      <w:r>
        <w:rPr>
          <w:spacing w:val="5"/>
        </w:rPr>
        <w:t>分为良好(付运维全款90%),</w:t>
      </w:r>
      <w:r>
        <w:rPr>
          <w:rFonts w:hint="eastAsia"/>
          <w:spacing w:val="5"/>
          <w:lang w:val="en-US" w:eastAsia="zh-CN"/>
        </w:rPr>
        <w:t>78</w:t>
      </w:r>
      <w:r>
        <w:rPr>
          <w:spacing w:val="5"/>
        </w:rPr>
        <w:t>分至</w:t>
      </w:r>
      <w:r>
        <w:rPr>
          <w:rFonts w:hint="eastAsia"/>
          <w:spacing w:val="5"/>
          <w:lang w:val="en-US" w:eastAsia="zh-CN"/>
        </w:rPr>
        <w:t>68</w:t>
      </w:r>
      <w:r>
        <w:rPr>
          <w:spacing w:val="5"/>
        </w:rPr>
        <w:t>分为一般(付</w:t>
      </w:r>
      <w:r>
        <w:rPr>
          <w:spacing w:val="8"/>
        </w:rPr>
        <w:t>运维全款70%),6</w:t>
      </w:r>
      <w:r>
        <w:rPr>
          <w:rFonts w:hint="eastAsia"/>
          <w:spacing w:val="8"/>
          <w:lang w:val="en-US" w:eastAsia="zh-CN"/>
        </w:rPr>
        <w:t>8</w:t>
      </w:r>
      <w:r>
        <w:rPr>
          <w:spacing w:val="8"/>
        </w:rPr>
        <w:t>分至</w:t>
      </w:r>
      <w:r>
        <w:rPr>
          <w:rFonts w:hint="eastAsia"/>
          <w:spacing w:val="8"/>
          <w:lang w:val="en-US" w:eastAsia="zh-CN"/>
        </w:rPr>
        <w:t>60</w:t>
      </w:r>
      <w:r>
        <w:rPr>
          <w:spacing w:val="8"/>
        </w:rPr>
        <w:t>分为较差(付全款50%),</w:t>
      </w:r>
      <w:r>
        <w:rPr>
          <w:rFonts w:hint="eastAsia"/>
          <w:spacing w:val="8"/>
          <w:lang w:val="en-US" w:eastAsia="zh-CN"/>
        </w:rPr>
        <w:t>60</w:t>
      </w:r>
      <w:r>
        <w:rPr>
          <w:spacing w:val="8"/>
        </w:rPr>
        <w:t>分以下为特差，不付任何运维款项。</w:t>
      </w:r>
    </w:p>
    <w:p w14:paraId="6CFE5A98">
      <w:pPr>
        <w:pStyle w:val="10"/>
        <w:spacing w:before="60" w:line="294" w:lineRule="auto"/>
        <w:ind w:left="35" w:right="283" w:firstLine="30"/>
        <w:jc w:val="both"/>
        <w:rPr>
          <w:spacing w:val="8"/>
        </w:rPr>
      </w:pPr>
    </w:p>
    <w:p w14:paraId="6672A5DE">
      <w:pPr>
        <w:pStyle w:val="10"/>
        <w:spacing w:before="60" w:line="294" w:lineRule="auto"/>
        <w:ind w:left="35" w:right="283" w:firstLine="30"/>
        <w:jc w:val="both"/>
        <w:rPr>
          <w:spacing w:val="8"/>
        </w:rPr>
      </w:pPr>
    </w:p>
    <w:p w14:paraId="2DFE8766">
      <w:pPr>
        <w:rPr>
          <w:rFonts w:hint="eastAsia"/>
          <w:spacing w:val="8"/>
          <w:lang w:val="en-US" w:eastAsia="zh-CN"/>
        </w:rPr>
      </w:pPr>
      <w:r>
        <w:rPr>
          <w:rFonts w:hint="eastAsia"/>
          <w:spacing w:val="8"/>
          <w:lang w:eastAsia="zh-CN"/>
        </w:rPr>
        <w:t>考核人：</w:t>
      </w:r>
      <w:r>
        <w:rPr>
          <w:rFonts w:hint="eastAsia"/>
          <w:spacing w:val="8"/>
          <w:lang w:val="en-US" w:eastAsia="zh-CN"/>
        </w:rPr>
        <w:t xml:space="preserve">                              考核日期</w:t>
      </w:r>
    </w:p>
    <w:p w14:paraId="22AC699C">
      <w:pPr>
        <w:rPr>
          <w:rFonts w:hint="eastAsia"/>
          <w:spacing w:val="8"/>
          <w:lang w:val="en-US" w:eastAsia="zh-CN"/>
        </w:rPr>
      </w:pPr>
    </w:p>
    <w:p w14:paraId="6C797C27">
      <w:pPr>
        <w:pStyle w:val="34"/>
        <w:numPr>
          <w:ilvl w:val="0"/>
          <w:numId w:val="0"/>
        </w:numPr>
        <w:rPr>
          <w:rFonts w:hint="eastAsia" w:ascii="宋体" w:hAnsi="宋体" w:eastAsia="宋体" w:cs="宋体"/>
          <w:sz w:val="22"/>
          <w:szCs w:val="22"/>
        </w:rPr>
      </w:pPr>
    </w:p>
    <w:p w14:paraId="36DDA1BD">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4ACFB32F">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1CC828C1">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544A2E68">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5742D142">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05762CAE">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6146F60D">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7A9205D7">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481E667C">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1559BF49">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6E92DD11">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7ACE69D2">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2EE740E2">
      <w:pPr>
        <w:pStyle w:val="18"/>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6737DF33">
      <w:pPr>
        <w:pStyle w:val="18"/>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政府采购廉政监督承诺书</w:t>
      </w:r>
    </w:p>
    <w:p w14:paraId="5A36ABDA">
      <w:pPr>
        <w:pStyle w:val="18"/>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w:t>
      </w:r>
      <w:r>
        <w:rPr>
          <w:rFonts w:hint="eastAsia" w:ascii="宋体" w:hAnsi="宋体" w:eastAsia="宋体" w:cs="宋体"/>
          <w:b/>
          <w:bCs/>
          <w:sz w:val="28"/>
          <w:szCs w:val="28"/>
        </w:rPr>
        <w:t>采购人与中标、成交供应商版</w:t>
      </w:r>
      <w:r>
        <w:rPr>
          <w:rFonts w:hint="eastAsia" w:ascii="宋体" w:hAnsi="宋体" w:eastAsia="宋体" w:cs="宋体"/>
          <w:b/>
          <w:bCs/>
          <w:sz w:val="28"/>
          <w:szCs w:val="28"/>
          <w:shd w:val="clear" w:color="auto" w:fill="FFFFFF"/>
        </w:rPr>
        <w:t>）</w:t>
      </w:r>
    </w:p>
    <w:p w14:paraId="0825AADA">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一、采购人承诺</w:t>
      </w:r>
    </w:p>
    <w:p w14:paraId="1B602102">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1.坚持“谁采购、谁负责”原则，认真落实政府采购主体责任，履行“三重一大”集体研究程序，完善政府采购内控制度，加强政府采购廉政警示和廉政教育。</w:t>
      </w:r>
    </w:p>
    <w:p w14:paraId="06FA86B8">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2.细化政府采购预算编制，严格预算执行，科学合理确定采购需求，不擅自提高采购标准，严禁超需要、无预算或超预算采购。</w:t>
      </w:r>
    </w:p>
    <w:p w14:paraId="6029533D">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32" w:name="_Hlk174982092"/>
      <w:r>
        <w:rPr>
          <w:rFonts w:hint="eastAsia" w:ascii="宋体" w:hAnsi="宋体" w:eastAsia="宋体" w:cs="宋体"/>
          <w:color w:val="auto"/>
          <w:sz w:val="21"/>
          <w:szCs w:val="21"/>
          <w:highlight w:val="none"/>
        </w:rPr>
        <w:t>不非法干预、影响政府采购评审活动，不对供应商实行差别待遇和歧视待遇。不在开标前泄露政府采购项目相关情况影响公平竞争。</w:t>
      </w:r>
    </w:p>
    <w:p w14:paraId="14F4E49E">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4.不索取、不收受供应商赠送的礼品、现金、有价证券和贵重物品。不参加供应商组织的宴请、旅游、娱乐。不得向供应商报销应当由个人承担的费用。</w:t>
      </w:r>
    </w:p>
    <w:p w14:paraId="451A4944">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5.不恶意串通操纵政府采购活动。</w:t>
      </w:r>
    </w:p>
    <w:p w14:paraId="6DDF2256">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6.认真执行双方签订的政府采购合同文件，自觉按合同办事。根据合同履行情况，及时开展履约验收，及时支付采购资金。</w:t>
      </w:r>
    </w:p>
    <w:p w14:paraId="61097D38">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7.坚持公开透明，及时准确做好政府采购全流程信息公开，采购活动全程留痕，采购资料记录全面完整。</w:t>
      </w:r>
    </w:p>
    <w:p w14:paraId="150DBF90">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8.依法依规处理政府采购质疑和投诉。</w:t>
      </w:r>
    </w:p>
    <w:p w14:paraId="6A55816D">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9.不发生其他有悖于政府采购公开、公平、公正和诚实原则的行为，自觉接受财政、监察、审计等有关单位的监督。</w:t>
      </w:r>
    </w:p>
    <w:p w14:paraId="37CB2915">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10.如违反以上承诺，愿接受监管部门依照相关法律法规处理并承担相应的法律责任。</w:t>
      </w:r>
      <w:bookmarkEnd w:id="32"/>
    </w:p>
    <w:p w14:paraId="0C58A82E">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二、供应商承诺</w:t>
      </w:r>
    </w:p>
    <w:p w14:paraId="1D964A99">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1.自觉遵守国家和省、市关于政府采购管理以及廉洁从业的各项规定。</w:t>
      </w:r>
    </w:p>
    <w:p w14:paraId="7B6BE5B9">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2.坚持公平竞争、诚实守信，不与采购人、其他供应商或者代理机构恶意串通，不非法干预、影响评审过程和结果，不提供虚假材料谋取中标、成交。</w:t>
      </w:r>
    </w:p>
    <w:p w14:paraId="50E6CCF7">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3.不向采购人、采购代理机构赠送礼品、现金、有价证券和贵重物品或提供其他不正当利益。不邀请采购人、采购代理机构参加宴请、旅游、娱乐。不为采购人、采购代理机构报销应当由个人承担的费用。</w:t>
      </w:r>
    </w:p>
    <w:p w14:paraId="6B829A47">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4.认真执行双方签订的政府采购合同文件，自觉按合同办事。不违规将政府采购合同转包。诚信、确实、全面履行自身合同义务，不擅自变更、中止或者终止政府采购合同。</w:t>
      </w:r>
    </w:p>
    <w:p w14:paraId="7CC6445B">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5.不提供假冒伪劣产品。</w:t>
      </w:r>
    </w:p>
    <w:p w14:paraId="7BF5261C">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6.依法依规、有凭有据开展政府采购质疑和投诉。</w:t>
      </w:r>
    </w:p>
    <w:p w14:paraId="778959D7">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7.如违反《中华人民共和国政府采购法》及相关法律法规，自觉接受政府采购监管部门依法依规处理。</w:t>
      </w:r>
    </w:p>
    <w:p w14:paraId="2FDB3A95">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 购 人（盖章）：                      中标、成交供应商（盖章）：</w:t>
      </w:r>
    </w:p>
    <w:p w14:paraId="528A462B">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单位负责人或授权代表（签字）：          单位负责人或授权代表（签字）：</w:t>
      </w:r>
    </w:p>
    <w:p w14:paraId="4BFA52CB">
      <w:pPr>
        <w:keepNext w:val="0"/>
        <w:keepLines w:val="0"/>
        <w:pageBreakBefore w:val="0"/>
        <w:widowControl w:val="0"/>
        <w:spacing w:line="3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  年  月  日   </w:t>
      </w:r>
    </w:p>
    <w:p w14:paraId="53ACBE0E">
      <w:pPr>
        <w:rPr>
          <w:rFonts w:hint="eastAsia" w:ascii="宋体" w:hAnsi="宋体" w:eastAsia="宋体" w:cs="宋体"/>
          <w:b/>
          <w:bCs/>
          <w:color w:val="auto"/>
          <w:sz w:val="40"/>
          <w:szCs w:val="40"/>
          <w:highlight w:val="none"/>
          <w:lang w:eastAsia="zh-CN"/>
        </w:rPr>
      </w:pPr>
      <w:r>
        <w:rPr>
          <w:rFonts w:hint="eastAsia" w:ascii="宋体" w:hAnsi="宋体" w:eastAsia="宋体" w:cs="宋体"/>
          <w:b/>
          <w:color w:val="auto"/>
          <w:sz w:val="40"/>
          <w:szCs w:val="40"/>
          <w:highlight w:val="none"/>
          <w:lang w:val="en-US" w:eastAsia="zh-CN"/>
        </w:rPr>
        <w:br w:type="page" w:clear="all"/>
      </w:r>
    </w:p>
    <w:p w14:paraId="70B2536F">
      <w:pPr>
        <w:spacing w:before="232" w:line="288" w:lineRule="auto"/>
        <w:ind w:right="138" w:rightChars="0" w:firstLine="2132" w:firstLineChars="600"/>
        <w:jc w:val="both"/>
        <w:rPr>
          <w:rFonts w:hint="eastAsia" w:ascii="宋体" w:hAnsi="宋体" w:eastAsia="宋体" w:cs="宋体"/>
          <w:b/>
          <w:bCs/>
          <w:spacing w:val="13"/>
          <w:sz w:val="36"/>
          <w:szCs w:val="36"/>
        </w:rPr>
      </w:pPr>
      <w:r>
        <w:rPr>
          <w:rFonts w:hint="eastAsia" w:ascii="宋体" w:hAnsi="宋体" w:eastAsia="宋体" w:cs="宋体"/>
          <w:b/>
          <w:bCs/>
          <w:spacing w:val="17"/>
          <w:sz w:val="32"/>
          <w:szCs w:val="32"/>
        </w:rPr>
        <w:t>政府采购履约验收通知单（参考样本）</w:t>
      </w:r>
    </w:p>
    <w:p w14:paraId="7C071692">
      <w:pPr>
        <w:spacing w:before="232" w:line="288" w:lineRule="auto"/>
        <w:ind w:right="1549"/>
        <w:rPr>
          <w:rFonts w:hint="eastAsia" w:ascii="宋体" w:hAnsi="宋体" w:eastAsia="宋体" w:cs="宋体"/>
          <w:sz w:val="23"/>
          <w:szCs w:val="23"/>
        </w:rPr>
      </w:pPr>
      <w:r>
        <w:rPr>
          <w:rFonts w:hint="eastAsia" w:ascii="宋体" w:hAnsi="宋体" w:eastAsia="宋体" w:cs="宋体"/>
          <w:spacing w:val="9"/>
          <w:sz w:val="23"/>
          <w:szCs w:val="23"/>
        </w:rPr>
        <w:t>供应商：</w:t>
      </w:r>
    </w:p>
    <w:tbl>
      <w:tblPr>
        <w:tblStyle w:val="36"/>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3BC9B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vAlign w:val="top"/>
          </w:tcPr>
          <w:p w14:paraId="35172BAD">
            <w:pPr>
              <w:spacing w:before="249" w:line="212" w:lineRule="auto"/>
              <w:ind w:left="961"/>
              <w:rPr>
                <w:rFonts w:hint="eastAsia" w:ascii="宋体" w:hAnsi="宋体" w:eastAsia="宋体" w:cs="宋体"/>
                <w:sz w:val="23"/>
                <w:szCs w:val="23"/>
              </w:rPr>
            </w:pPr>
            <w:r>
              <w:rPr>
                <w:rFonts w:hint="eastAsia" w:ascii="宋体" w:hAnsi="宋体" w:eastAsia="宋体" w:cs="宋体"/>
                <w:spacing w:val="2"/>
                <w:sz w:val="23"/>
                <w:szCs w:val="23"/>
              </w:rPr>
              <w:t>采购人</w:t>
            </w:r>
          </w:p>
        </w:tc>
        <w:tc>
          <w:tcPr>
            <w:tcW w:w="6708" w:type="dxa"/>
            <w:gridSpan w:val="3"/>
            <w:vAlign w:val="top"/>
          </w:tcPr>
          <w:p w14:paraId="7FF116B2">
            <w:pPr>
              <w:pStyle w:val="37"/>
              <w:rPr>
                <w:rFonts w:hint="eastAsia" w:ascii="宋体" w:hAnsi="宋体" w:eastAsia="宋体" w:cs="宋体"/>
              </w:rPr>
            </w:pPr>
          </w:p>
        </w:tc>
      </w:tr>
      <w:tr w14:paraId="3DBE4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2E374BFD">
            <w:pPr>
              <w:spacing w:before="249" w:line="211" w:lineRule="auto"/>
              <w:ind w:left="841"/>
              <w:rPr>
                <w:rFonts w:hint="eastAsia" w:ascii="宋体" w:hAnsi="宋体" w:eastAsia="宋体" w:cs="宋体"/>
                <w:sz w:val="23"/>
                <w:szCs w:val="23"/>
              </w:rPr>
            </w:pPr>
            <w:r>
              <w:rPr>
                <w:rFonts w:hint="eastAsia" w:ascii="宋体" w:hAnsi="宋体" w:eastAsia="宋体" w:cs="宋体"/>
                <w:spacing w:val="2"/>
                <w:sz w:val="23"/>
                <w:szCs w:val="23"/>
              </w:rPr>
              <w:t>项目名称</w:t>
            </w:r>
          </w:p>
        </w:tc>
        <w:tc>
          <w:tcPr>
            <w:tcW w:w="6708" w:type="dxa"/>
            <w:gridSpan w:val="3"/>
            <w:vAlign w:val="top"/>
          </w:tcPr>
          <w:p w14:paraId="3B169F30">
            <w:pPr>
              <w:pStyle w:val="37"/>
              <w:rPr>
                <w:rFonts w:hint="eastAsia" w:ascii="宋体" w:hAnsi="宋体" w:eastAsia="宋体" w:cs="宋体"/>
              </w:rPr>
            </w:pPr>
          </w:p>
        </w:tc>
      </w:tr>
      <w:tr w14:paraId="44666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1EBD3256">
            <w:pPr>
              <w:spacing w:before="247" w:line="213" w:lineRule="auto"/>
              <w:ind w:left="841"/>
              <w:rPr>
                <w:rFonts w:hint="eastAsia" w:ascii="宋体" w:hAnsi="宋体" w:eastAsia="宋体" w:cs="宋体"/>
                <w:sz w:val="23"/>
                <w:szCs w:val="23"/>
              </w:rPr>
            </w:pPr>
            <w:r>
              <w:rPr>
                <w:rFonts w:hint="eastAsia" w:ascii="宋体" w:hAnsi="宋体" w:eastAsia="宋体" w:cs="宋体"/>
                <w:spacing w:val="2"/>
                <w:sz w:val="23"/>
                <w:szCs w:val="23"/>
              </w:rPr>
              <w:t>合同名称</w:t>
            </w:r>
          </w:p>
        </w:tc>
        <w:tc>
          <w:tcPr>
            <w:tcW w:w="6708" w:type="dxa"/>
            <w:gridSpan w:val="3"/>
            <w:vAlign w:val="top"/>
          </w:tcPr>
          <w:p w14:paraId="2F8EBB99">
            <w:pPr>
              <w:pStyle w:val="37"/>
              <w:rPr>
                <w:rFonts w:hint="eastAsia" w:ascii="宋体" w:hAnsi="宋体" w:eastAsia="宋体" w:cs="宋体"/>
              </w:rPr>
            </w:pPr>
          </w:p>
        </w:tc>
      </w:tr>
      <w:tr w14:paraId="222B9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69EA4CE2">
            <w:pPr>
              <w:spacing w:before="247" w:line="212" w:lineRule="auto"/>
              <w:ind w:left="841"/>
              <w:rPr>
                <w:rFonts w:hint="eastAsia" w:ascii="宋体" w:hAnsi="宋体" w:eastAsia="宋体" w:cs="宋体"/>
                <w:sz w:val="23"/>
                <w:szCs w:val="23"/>
              </w:rPr>
            </w:pPr>
            <w:r>
              <w:rPr>
                <w:rFonts w:hint="eastAsia" w:ascii="宋体" w:hAnsi="宋体" w:eastAsia="宋体" w:cs="宋体"/>
                <w:spacing w:val="2"/>
                <w:sz w:val="23"/>
                <w:szCs w:val="23"/>
              </w:rPr>
              <w:t>合同编号</w:t>
            </w:r>
          </w:p>
        </w:tc>
        <w:tc>
          <w:tcPr>
            <w:tcW w:w="1961" w:type="dxa"/>
            <w:vAlign w:val="top"/>
          </w:tcPr>
          <w:p w14:paraId="42EA7494">
            <w:pPr>
              <w:pStyle w:val="37"/>
              <w:rPr>
                <w:rFonts w:hint="eastAsia" w:ascii="宋体" w:hAnsi="宋体" w:eastAsia="宋体" w:cs="宋体"/>
              </w:rPr>
            </w:pPr>
          </w:p>
        </w:tc>
        <w:tc>
          <w:tcPr>
            <w:tcW w:w="2139" w:type="dxa"/>
            <w:vAlign w:val="top"/>
          </w:tcPr>
          <w:p w14:paraId="43994C26">
            <w:pPr>
              <w:spacing w:before="247" w:line="213" w:lineRule="auto"/>
              <w:ind w:left="607"/>
              <w:rPr>
                <w:rFonts w:hint="eastAsia" w:ascii="宋体" w:hAnsi="宋体" w:eastAsia="宋体" w:cs="宋体"/>
                <w:sz w:val="23"/>
                <w:szCs w:val="23"/>
              </w:rPr>
            </w:pPr>
            <w:r>
              <w:rPr>
                <w:rFonts w:hint="eastAsia" w:ascii="宋体" w:hAnsi="宋体" w:eastAsia="宋体" w:cs="宋体"/>
                <w:spacing w:val="2"/>
                <w:sz w:val="23"/>
                <w:szCs w:val="23"/>
              </w:rPr>
              <w:t>合同金额</w:t>
            </w:r>
          </w:p>
        </w:tc>
        <w:tc>
          <w:tcPr>
            <w:tcW w:w="2608" w:type="dxa"/>
            <w:vAlign w:val="top"/>
          </w:tcPr>
          <w:p w14:paraId="14E3C859">
            <w:pPr>
              <w:pStyle w:val="37"/>
              <w:rPr>
                <w:rFonts w:hint="eastAsia" w:ascii="宋体" w:hAnsi="宋体" w:eastAsia="宋体" w:cs="宋体"/>
              </w:rPr>
            </w:pPr>
          </w:p>
        </w:tc>
      </w:tr>
      <w:tr w14:paraId="28472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328C7611">
            <w:pPr>
              <w:spacing w:before="248" w:line="212" w:lineRule="auto"/>
              <w:ind w:left="841"/>
              <w:rPr>
                <w:rFonts w:hint="eastAsia" w:ascii="宋体" w:hAnsi="宋体" w:eastAsia="宋体" w:cs="宋体"/>
                <w:sz w:val="23"/>
                <w:szCs w:val="23"/>
              </w:rPr>
            </w:pPr>
            <w:r>
              <w:rPr>
                <w:rFonts w:hint="eastAsia" w:ascii="宋体" w:hAnsi="宋体" w:eastAsia="宋体" w:cs="宋体"/>
                <w:spacing w:val="4"/>
                <w:sz w:val="23"/>
                <w:szCs w:val="23"/>
              </w:rPr>
              <w:t>验收时间</w:t>
            </w:r>
          </w:p>
        </w:tc>
        <w:tc>
          <w:tcPr>
            <w:tcW w:w="1961" w:type="dxa"/>
            <w:vAlign w:val="top"/>
          </w:tcPr>
          <w:p w14:paraId="65D8701E">
            <w:pPr>
              <w:pStyle w:val="37"/>
              <w:rPr>
                <w:rFonts w:hint="eastAsia" w:ascii="宋体" w:hAnsi="宋体" w:eastAsia="宋体" w:cs="宋体"/>
              </w:rPr>
            </w:pPr>
          </w:p>
        </w:tc>
        <w:tc>
          <w:tcPr>
            <w:tcW w:w="2139" w:type="dxa"/>
            <w:vAlign w:val="top"/>
          </w:tcPr>
          <w:p w14:paraId="26D696CF">
            <w:pPr>
              <w:spacing w:before="248" w:line="213" w:lineRule="auto"/>
              <w:ind w:left="607"/>
              <w:rPr>
                <w:rFonts w:hint="eastAsia" w:ascii="宋体" w:hAnsi="宋体" w:eastAsia="宋体" w:cs="宋体"/>
                <w:sz w:val="23"/>
                <w:szCs w:val="23"/>
              </w:rPr>
            </w:pPr>
            <w:r>
              <w:rPr>
                <w:rFonts w:hint="eastAsia" w:ascii="宋体" w:hAnsi="宋体" w:eastAsia="宋体" w:cs="宋体"/>
                <w:spacing w:val="4"/>
                <w:sz w:val="23"/>
                <w:szCs w:val="23"/>
              </w:rPr>
              <w:t>验收地点</w:t>
            </w:r>
          </w:p>
        </w:tc>
        <w:tc>
          <w:tcPr>
            <w:tcW w:w="2608" w:type="dxa"/>
            <w:vAlign w:val="top"/>
          </w:tcPr>
          <w:p w14:paraId="7B20EA5A">
            <w:pPr>
              <w:pStyle w:val="37"/>
              <w:rPr>
                <w:rFonts w:hint="eastAsia" w:ascii="宋体" w:hAnsi="宋体" w:eastAsia="宋体" w:cs="宋体"/>
              </w:rPr>
            </w:pPr>
          </w:p>
        </w:tc>
      </w:tr>
      <w:tr w14:paraId="0A196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42FF44E">
            <w:pPr>
              <w:spacing w:before="248" w:line="213" w:lineRule="auto"/>
              <w:ind w:left="960"/>
              <w:rPr>
                <w:rFonts w:hint="eastAsia" w:ascii="宋体" w:hAnsi="宋体" w:eastAsia="宋体" w:cs="宋体"/>
                <w:sz w:val="23"/>
                <w:szCs w:val="23"/>
              </w:rPr>
            </w:pPr>
            <w:r>
              <w:rPr>
                <w:rFonts w:hint="eastAsia" w:ascii="宋体" w:hAnsi="宋体" w:eastAsia="宋体" w:cs="宋体"/>
                <w:spacing w:val="1"/>
                <w:sz w:val="23"/>
                <w:szCs w:val="23"/>
              </w:rPr>
              <w:t>联系人</w:t>
            </w:r>
          </w:p>
        </w:tc>
        <w:tc>
          <w:tcPr>
            <w:tcW w:w="1961" w:type="dxa"/>
            <w:vAlign w:val="top"/>
          </w:tcPr>
          <w:p w14:paraId="66CCA408">
            <w:pPr>
              <w:pStyle w:val="37"/>
              <w:rPr>
                <w:rFonts w:hint="eastAsia" w:ascii="宋体" w:hAnsi="宋体" w:eastAsia="宋体" w:cs="宋体"/>
              </w:rPr>
            </w:pPr>
          </w:p>
        </w:tc>
        <w:tc>
          <w:tcPr>
            <w:tcW w:w="2139" w:type="dxa"/>
            <w:vAlign w:val="top"/>
          </w:tcPr>
          <w:p w14:paraId="42EEF447">
            <w:pPr>
              <w:spacing w:before="248" w:line="213" w:lineRule="auto"/>
              <w:ind w:left="605"/>
              <w:rPr>
                <w:rFonts w:hint="eastAsia" w:ascii="宋体" w:hAnsi="宋体" w:eastAsia="宋体" w:cs="宋体"/>
                <w:sz w:val="23"/>
                <w:szCs w:val="23"/>
              </w:rPr>
            </w:pPr>
            <w:r>
              <w:rPr>
                <w:rFonts w:hint="eastAsia" w:ascii="宋体" w:hAnsi="宋体" w:eastAsia="宋体" w:cs="宋体"/>
                <w:spacing w:val="3"/>
                <w:sz w:val="23"/>
                <w:szCs w:val="23"/>
              </w:rPr>
              <w:t>联系电话</w:t>
            </w:r>
          </w:p>
        </w:tc>
        <w:tc>
          <w:tcPr>
            <w:tcW w:w="2608" w:type="dxa"/>
            <w:vAlign w:val="top"/>
          </w:tcPr>
          <w:p w14:paraId="5A94DF4E">
            <w:pPr>
              <w:pStyle w:val="37"/>
              <w:rPr>
                <w:rFonts w:hint="eastAsia" w:ascii="宋体" w:hAnsi="宋体" w:eastAsia="宋体" w:cs="宋体"/>
              </w:rPr>
            </w:pPr>
          </w:p>
        </w:tc>
      </w:tr>
      <w:tr w14:paraId="27B1F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vAlign w:val="top"/>
          </w:tcPr>
          <w:p w14:paraId="5861D690">
            <w:pPr>
              <w:spacing w:before="250" w:line="212" w:lineRule="auto"/>
              <w:ind w:left="3353"/>
              <w:rPr>
                <w:rFonts w:hint="eastAsia" w:ascii="宋体" w:hAnsi="宋体" w:eastAsia="宋体" w:cs="宋体"/>
                <w:sz w:val="23"/>
                <w:szCs w:val="23"/>
              </w:rPr>
            </w:pPr>
            <w:r>
              <w:rPr>
                <w:rFonts w:hint="eastAsia" w:ascii="宋体" w:hAnsi="宋体" w:eastAsia="宋体" w:cs="宋体"/>
                <w:spacing w:val="7"/>
                <w:sz w:val="23"/>
                <w:szCs w:val="23"/>
              </w:rPr>
              <w:t>履约验收方案及工作要求</w:t>
            </w:r>
          </w:p>
        </w:tc>
      </w:tr>
      <w:tr w14:paraId="722A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vAlign w:val="top"/>
          </w:tcPr>
          <w:p w14:paraId="2684CBA3">
            <w:pPr>
              <w:pStyle w:val="37"/>
              <w:spacing w:line="241" w:lineRule="auto"/>
              <w:rPr>
                <w:rFonts w:hint="eastAsia" w:ascii="宋体" w:hAnsi="宋体" w:eastAsia="宋体" w:cs="宋体"/>
              </w:rPr>
            </w:pPr>
          </w:p>
          <w:p w14:paraId="0B7B73AF">
            <w:pPr>
              <w:pStyle w:val="37"/>
              <w:spacing w:line="241" w:lineRule="auto"/>
              <w:rPr>
                <w:rFonts w:hint="eastAsia" w:ascii="宋体" w:hAnsi="宋体" w:eastAsia="宋体" w:cs="宋体"/>
              </w:rPr>
            </w:pPr>
          </w:p>
          <w:p w14:paraId="070BB929">
            <w:pPr>
              <w:pStyle w:val="37"/>
              <w:spacing w:line="241" w:lineRule="auto"/>
              <w:rPr>
                <w:rFonts w:hint="eastAsia" w:ascii="宋体" w:hAnsi="宋体" w:eastAsia="宋体" w:cs="宋体"/>
              </w:rPr>
            </w:pPr>
          </w:p>
          <w:p w14:paraId="40E75F76">
            <w:pPr>
              <w:pStyle w:val="37"/>
              <w:spacing w:line="241" w:lineRule="auto"/>
              <w:rPr>
                <w:rFonts w:hint="eastAsia" w:ascii="宋体" w:hAnsi="宋体" w:eastAsia="宋体" w:cs="宋体"/>
              </w:rPr>
            </w:pPr>
          </w:p>
          <w:p w14:paraId="34A1D45E">
            <w:pPr>
              <w:pStyle w:val="37"/>
              <w:spacing w:line="241" w:lineRule="auto"/>
              <w:rPr>
                <w:rFonts w:hint="eastAsia" w:ascii="宋体" w:hAnsi="宋体" w:eastAsia="宋体" w:cs="宋体"/>
              </w:rPr>
            </w:pPr>
          </w:p>
          <w:p w14:paraId="271C0E74">
            <w:pPr>
              <w:pStyle w:val="37"/>
              <w:spacing w:line="241" w:lineRule="auto"/>
              <w:rPr>
                <w:rFonts w:hint="eastAsia" w:ascii="宋体" w:hAnsi="宋体" w:eastAsia="宋体" w:cs="宋体"/>
              </w:rPr>
            </w:pPr>
          </w:p>
          <w:p w14:paraId="3C4BDFBE">
            <w:pPr>
              <w:pStyle w:val="37"/>
              <w:spacing w:line="241" w:lineRule="auto"/>
              <w:rPr>
                <w:rFonts w:hint="eastAsia" w:ascii="宋体" w:hAnsi="宋体" w:eastAsia="宋体" w:cs="宋体"/>
              </w:rPr>
            </w:pPr>
          </w:p>
          <w:p w14:paraId="38DC0479">
            <w:pPr>
              <w:pStyle w:val="37"/>
              <w:spacing w:line="241" w:lineRule="auto"/>
              <w:rPr>
                <w:rFonts w:hint="eastAsia" w:ascii="宋体" w:hAnsi="宋体" w:eastAsia="宋体" w:cs="宋体"/>
              </w:rPr>
            </w:pPr>
          </w:p>
          <w:p w14:paraId="05BC026B">
            <w:pPr>
              <w:pStyle w:val="37"/>
              <w:spacing w:line="241" w:lineRule="auto"/>
              <w:rPr>
                <w:rFonts w:hint="eastAsia" w:ascii="宋体" w:hAnsi="宋体" w:eastAsia="宋体" w:cs="宋体"/>
              </w:rPr>
            </w:pPr>
          </w:p>
          <w:p w14:paraId="0C43F89D">
            <w:pPr>
              <w:pStyle w:val="37"/>
              <w:spacing w:line="241" w:lineRule="auto"/>
              <w:rPr>
                <w:rFonts w:hint="eastAsia" w:ascii="宋体" w:hAnsi="宋体" w:eastAsia="宋体" w:cs="宋体"/>
              </w:rPr>
            </w:pPr>
          </w:p>
          <w:p w14:paraId="5997F94A">
            <w:pPr>
              <w:pStyle w:val="37"/>
              <w:spacing w:line="241" w:lineRule="auto"/>
              <w:rPr>
                <w:rFonts w:hint="eastAsia" w:ascii="宋体" w:hAnsi="宋体" w:eastAsia="宋体" w:cs="宋体"/>
              </w:rPr>
            </w:pPr>
          </w:p>
          <w:p w14:paraId="4C64C84D">
            <w:pPr>
              <w:pStyle w:val="37"/>
              <w:spacing w:line="241" w:lineRule="auto"/>
              <w:rPr>
                <w:rFonts w:hint="eastAsia" w:ascii="宋体" w:hAnsi="宋体" w:eastAsia="宋体" w:cs="宋体"/>
              </w:rPr>
            </w:pPr>
          </w:p>
          <w:p w14:paraId="62154108">
            <w:pPr>
              <w:pStyle w:val="37"/>
              <w:spacing w:line="241" w:lineRule="auto"/>
              <w:rPr>
                <w:rFonts w:hint="eastAsia" w:ascii="宋体" w:hAnsi="宋体" w:eastAsia="宋体" w:cs="宋体"/>
              </w:rPr>
            </w:pPr>
          </w:p>
          <w:p w14:paraId="42EBF4B5">
            <w:pPr>
              <w:pStyle w:val="37"/>
              <w:spacing w:line="241" w:lineRule="auto"/>
              <w:rPr>
                <w:rFonts w:hint="eastAsia" w:ascii="宋体" w:hAnsi="宋体" w:eastAsia="宋体" w:cs="宋体"/>
              </w:rPr>
            </w:pPr>
          </w:p>
          <w:p w14:paraId="0EC90A9D">
            <w:pPr>
              <w:pStyle w:val="37"/>
              <w:spacing w:line="241" w:lineRule="auto"/>
              <w:rPr>
                <w:rFonts w:hint="eastAsia" w:ascii="宋体" w:hAnsi="宋体" w:eastAsia="宋体" w:cs="宋体"/>
              </w:rPr>
            </w:pPr>
          </w:p>
          <w:p w14:paraId="6A8E0B25">
            <w:pPr>
              <w:pStyle w:val="37"/>
              <w:spacing w:line="241" w:lineRule="auto"/>
              <w:rPr>
                <w:rFonts w:hint="eastAsia" w:ascii="宋体" w:hAnsi="宋体" w:eastAsia="宋体" w:cs="宋体"/>
              </w:rPr>
            </w:pPr>
          </w:p>
          <w:p w14:paraId="53DBD9AB">
            <w:pPr>
              <w:pStyle w:val="37"/>
              <w:spacing w:line="241" w:lineRule="auto"/>
              <w:rPr>
                <w:rFonts w:hint="eastAsia" w:ascii="宋体" w:hAnsi="宋体" w:eastAsia="宋体" w:cs="宋体"/>
              </w:rPr>
            </w:pPr>
          </w:p>
          <w:p w14:paraId="631F8A27">
            <w:pPr>
              <w:pStyle w:val="37"/>
              <w:spacing w:line="242" w:lineRule="auto"/>
              <w:rPr>
                <w:rFonts w:hint="eastAsia" w:ascii="宋体" w:hAnsi="宋体" w:eastAsia="宋体" w:cs="宋体"/>
              </w:rPr>
            </w:pPr>
          </w:p>
          <w:p w14:paraId="062CBEF7">
            <w:pPr>
              <w:spacing w:before="75" w:line="214" w:lineRule="auto"/>
              <w:ind w:left="5311"/>
              <w:rPr>
                <w:rFonts w:hint="eastAsia" w:ascii="宋体" w:hAnsi="宋体" w:eastAsia="宋体" w:cs="宋体"/>
                <w:sz w:val="23"/>
                <w:szCs w:val="23"/>
              </w:rPr>
            </w:pPr>
            <w:r>
              <w:rPr>
                <w:rFonts w:hint="eastAsia" w:ascii="宋体" w:hAnsi="宋体" w:eastAsia="宋体" w:cs="宋体"/>
                <w:spacing w:val="3"/>
                <w:sz w:val="23"/>
                <w:szCs w:val="23"/>
              </w:rPr>
              <w:t>单位公章</w:t>
            </w:r>
          </w:p>
          <w:p w14:paraId="13BAE9C6">
            <w:pPr>
              <w:pStyle w:val="37"/>
              <w:spacing w:line="308" w:lineRule="auto"/>
              <w:rPr>
                <w:rFonts w:hint="eastAsia" w:ascii="宋体" w:hAnsi="宋体" w:eastAsia="宋体" w:cs="宋体"/>
              </w:rPr>
            </w:pPr>
          </w:p>
          <w:p w14:paraId="6470833A">
            <w:pPr>
              <w:spacing w:before="75" w:line="212" w:lineRule="auto"/>
              <w:ind w:left="5128"/>
              <w:rPr>
                <w:rFonts w:hint="eastAsia" w:ascii="宋体" w:hAnsi="宋体" w:eastAsia="宋体" w:cs="宋体"/>
                <w:sz w:val="23"/>
                <w:szCs w:val="23"/>
              </w:rPr>
            </w:pPr>
            <w:r>
              <w:rPr>
                <w:rFonts w:hint="eastAsia" w:ascii="宋体" w:hAnsi="宋体" w:eastAsia="宋体" w:cs="宋体"/>
                <w:spacing w:val="-3"/>
                <w:sz w:val="23"/>
                <w:szCs w:val="23"/>
              </w:rPr>
              <w:t>年</w:t>
            </w:r>
            <w:r>
              <w:rPr>
                <w:rFonts w:hint="eastAsia" w:ascii="宋体" w:hAnsi="宋体" w:eastAsia="宋体" w:cs="宋体"/>
                <w:spacing w:val="18"/>
                <w:sz w:val="23"/>
                <w:szCs w:val="23"/>
              </w:rPr>
              <w:t xml:space="preserve">  </w:t>
            </w:r>
            <w:r>
              <w:rPr>
                <w:rFonts w:hint="eastAsia" w:ascii="宋体" w:hAnsi="宋体" w:eastAsia="宋体" w:cs="宋体"/>
                <w:spacing w:val="-3"/>
                <w:sz w:val="23"/>
                <w:szCs w:val="23"/>
              </w:rPr>
              <w:t>月</w:t>
            </w:r>
            <w:r>
              <w:rPr>
                <w:rFonts w:hint="eastAsia" w:ascii="宋体" w:hAnsi="宋体" w:eastAsia="宋体" w:cs="宋体"/>
                <w:spacing w:val="12"/>
                <w:sz w:val="23"/>
                <w:szCs w:val="23"/>
              </w:rPr>
              <w:t xml:space="preserve">   </w:t>
            </w:r>
            <w:r>
              <w:rPr>
                <w:rFonts w:hint="eastAsia" w:ascii="宋体" w:hAnsi="宋体" w:eastAsia="宋体" w:cs="宋体"/>
                <w:spacing w:val="-3"/>
                <w:sz w:val="23"/>
                <w:szCs w:val="23"/>
              </w:rPr>
              <w:t>日</w:t>
            </w:r>
          </w:p>
        </w:tc>
      </w:tr>
    </w:tbl>
    <w:p w14:paraId="5909FA13">
      <w:pPr>
        <w:pageBreakBefore w:val="0"/>
        <w:spacing w:line="380" w:lineRule="exact"/>
        <w:jc w:val="center"/>
        <w:rPr>
          <w:rFonts w:hint="eastAsia" w:ascii="宋体" w:hAnsi="宋体" w:eastAsia="宋体" w:cs="宋体"/>
          <w:b/>
          <w:color w:val="auto"/>
          <w:sz w:val="40"/>
          <w:szCs w:val="40"/>
          <w:highlight w:val="none"/>
          <w:lang w:val="en-US" w:eastAsia="zh-CN"/>
        </w:rPr>
      </w:pPr>
    </w:p>
    <w:p w14:paraId="19EA6BCD">
      <w:pPr>
        <w:pageBreakBefore w:val="0"/>
        <w:spacing w:line="380" w:lineRule="exact"/>
        <w:jc w:val="both"/>
        <w:rPr>
          <w:rFonts w:hint="eastAsia" w:ascii="宋体" w:hAnsi="宋体" w:eastAsia="宋体" w:cs="宋体"/>
          <w:b/>
          <w:color w:val="auto"/>
          <w:sz w:val="40"/>
          <w:szCs w:val="40"/>
          <w:highlight w:val="none"/>
          <w:lang w:val="en-US" w:eastAsia="zh-CN"/>
        </w:rPr>
        <w:sectPr>
          <w:footerReference r:id="rId4" w:type="default"/>
          <w:pgSz w:w="11906" w:h="16838"/>
          <w:pgMar w:top="1270" w:right="1191" w:bottom="1270" w:left="1191" w:header="851" w:footer="992" w:gutter="0"/>
          <w:pgBorders>
            <w:top w:val="none" w:sz="0" w:space="0"/>
            <w:left w:val="none" w:sz="0" w:space="0"/>
            <w:bottom w:val="none" w:sz="0" w:space="0"/>
            <w:right w:val="none" w:sz="0" w:space="0"/>
          </w:pgBorders>
          <w:cols w:space="720" w:num="1"/>
          <w:docGrid w:linePitch="360" w:charSpace="0"/>
        </w:sectPr>
      </w:pPr>
    </w:p>
    <w:p w14:paraId="7BC81584">
      <w:pPr>
        <w:spacing w:before="76" w:line="184" w:lineRule="auto"/>
        <w:ind w:left="3943"/>
        <w:outlineLvl w:val="0"/>
        <w:rPr>
          <w:rFonts w:hint="eastAsia" w:ascii="宋体" w:hAnsi="宋体" w:eastAsia="宋体" w:cs="宋体"/>
          <w:b/>
          <w:bCs/>
          <w:sz w:val="36"/>
          <w:szCs w:val="36"/>
        </w:rPr>
      </w:pPr>
      <w:r>
        <w:rPr>
          <w:rFonts w:hint="eastAsia" w:ascii="宋体" w:hAnsi="宋体" w:eastAsia="宋体" w:cs="宋体"/>
          <w:b/>
          <w:bCs/>
          <w:spacing w:val="19"/>
          <w:sz w:val="36"/>
          <w:szCs w:val="36"/>
        </w:rPr>
        <w:t>政府采购履约验收书参考样本(工程类)</w:t>
      </w:r>
    </w:p>
    <w:tbl>
      <w:tblPr>
        <w:tblStyle w:val="36"/>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5"/>
        <w:gridCol w:w="1972"/>
        <w:gridCol w:w="1842"/>
        <w:gridCol w:w="1994"/>
        <w:gridCol w:w="2127"/>
        <w:gridCol w:w="2164"/>
        <w:gridCol w:w="2260"/>
      </w:tblGrid>
      <w:tr w14:paraId="5FA521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1815" w:type="dxa"/>
            <w:vAlign w:val="top"/>
          </w:tcPr>
          <w:p w14:paraId="074EDD2B">
            <w:pPr>
              <w:spacing w:before="297" w:line="207" w:lineRule="auto"/>
              <w:ind w:left="640"/>
              <w:rPr>
                <w:rFonts w:hint="eastAsia" w:ascii="宋体" w:hAnsi="宋体" w:eastAsia="宋体" w:cs="宋体"/>
                <w:sz w:val="18"/>
                <w:szCs w:val="18"/>
              </w:rPr>
            </w:pPr>
            <w:r>
              <w:rPr>
                <w:rFonts w:hint="eastAsia" w:ascii="宋体" w:hAnsi="宋体" w:eastAsia="宋体" w:cs="宋体"/>
                <w:spacing w:val="-3"/>
                <w:sz w:val="18"/>
                <w:szCs w:val="18"/>
              </w:rPr>
              <w:t>采购人</w:t>
            </w:r>
          </w:p>
        </w:tc>
        <w:tc>
          <w:tcPr>
            <w:tcW w:w="1972" w:type="dxa"/>
            <w:vAlign w:val="top"/>
          </w:tcPr>
          <w:p w14:paraId="004F4C57">
            <w:pPr>
              <w:pStyle w:val="37"/>
              <w:rPr>
                <w:rFonts w:hint="eastAsia" w:ascii="宋体" w:hAnsi="宋体" w:eastAsia="宋体" w:cs="宋体"/>
              </w:rPr>
            </w:pPr>
          </w:p>
        </w:tc>
        <w:tc>
          <w:tcPr>
            <w:tcW w:w="1842" w:type="dxa"/>
            <w:vAlign w:val="top"/>
          </w:tcPr>
          <w:p w14:paraId="279511AA">
            <w:pPr>
              <w:spacing w:before="297" w:line="208" w:lineRule="auto"/>
              <w:ind w:left="565"/>
              <w:rPr>
                <w:rFonts w:hint="eastAsia" w:ascii="宋体" w:hAnsi="宋体" w:eastAsia="宋体" w:cs="宋体"/>
                <w:sz w:val="18"/>
                <w:szCs w:val="18"/>
              </w:rPr>
            </w:pPr>
            <w:r>
              <w:rPr>
                <w:rFonts w:hint="eastAsia" w:ascii="宋体" w:hAnsi="宋体" w:eastAsia="宋体" w:cs="宋体"/>
                <w:spacing w:val="-3"/>
                <w:sz w:val="18"/>
                <w:szCs w:val="18"/>
              </w:rPr>
              <w:t>项目名称</w:t>
            </w:r>
          </w:p>
        </w:tc>
        <w:tc>
          <w:tcPr>
            <w:tcW w:w="1994" w:type="dxa"/>
            <w:vAlign w:val="top"/>
          </w:tcPr>
          <w:p w14:paraId="753B9FA6">
            <w:pPr>
              <w:pStyle w:val="37"/>
              <w:rPr>
                <w:rFonts w:hint="eastAsia" w:ascii="宋体" w:hAnsi="宋体" w:eastAsia="宋体" w:cs="宋体"/>
              </w:rPr>
            </w:pPr>
          </w:p>
        </w:tc>
        <w:tc>
          <w:tcPr>
            <w:tcW w:w="2127" w:type="dxa"/>
            <w:vAlign w:val="top"/>
          </w:tcPr>
          <w:p w14:paraId="68E911F1">
            <w:pPr>
              <w:spacing w:before="297" w:line="207" w:lineRule="auto"/>
              <w:ind w:left="699"/>
              <w:rPr>
                <w:rFonts w:hint="eastAsia" w:ascii="宋体" w:hAnsi="宋体" w:eastAsia="宋体" w:cs="宋体"/>
                <w:sz w:val="18"/>
                <w:szCs w:val="18"/>
              </w:rPr>
            </w:pPr>
            <w:r>
              <w:rPr>
                <w:rFonts w:hint="eastAsia" w:ascii="宋体" w:hAnsi="宋体" w:eastAsia="宋体" w:cs="宋体"/>
                <w:spacing w:val="-2"/>
                <w:sz w:val="18"/>
                <w:szCs w:val="18"/>
              </w:rPr>
              <w:t>合同名称</w:t>
            </w:r>
          </w:p>
        </w:tc>
        <w:tc>
          <w:tcPr>
            <w:tcW w:w="4424" w:type="dxa"/>
            <w:gridSpan w:val="2"/>
            <w:vAlign w:val="top"/>
          </w:tcPr>
          <w:p w14:paraId="1FD281DB">
            <w:pPr>
              <w:pStyle w:val="37"/>
              <w:rPr>
                <w:rFonts w:hint="eastAsia" w:ascii="宋体" w:hAnsi="宋体" w:eastAsia="宋体" w:cs="宋体"/>
              </w:rPr>
            </w:pPr>
          </w:p>
        </w:tc>
      </w:tr>
      <w:tr w14:paraId="65C63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815" w:type="dxa"/>
            <w:vAlign w:val="top"/>
          </w:tcPr>
          <w:p w14:paraId="27708ABE">
            <w:pPr>
              <w:spacing w:before="297" w:line="207" w:lineRule="auto"/>
              <w:ind w:left="641"/>
              <w:rPr>
                <w:rFonts w:hint="eastAsia" w:ascii="宋体" w:hAnsi="宋体" w:eastAsia="宋体" w:cs="宋体"/>
                <w:sz w:val="18"/>
                <w:szCs w:val="18"/>
              </w:rPr>
            </w:pPr>
            <w:r>
              <w:rPr>
                <w:rFonts w:hint="eastAsia" w:ascii="宋体" w:hAnsi="宋体" w:eastAsia="宋体" w:cs="宋体"/>
                <w:spacing w:val="-3"/>
                <w:sz w:val="18"/>
                <w:szCs w:val="18"/>
              </w:rPr>
              <w:t>供应商</w:t>
            </w:r>
          </w:p>
        </w:tc>
        <w:tc>
          <w:tcPr>
            <w:tcW w:w="1972" w:type="dxa"/>
            <w:vAlign w:val="top"/>
          </w:tcPr>
          <w:p w14:paraId="7797B54C">
            <w:pPr>
              <w:pStyle w:val="37"/>
              <w:rPr>
                <w:rFonts w:hint="eastAsia" w:ascii="宋体" w:hAnsi="宋体" w:eastAsia="宋体" w:cs="宋体"/>
              </w:rPr>
            </w:pPr>
          </w:p>
        </w:tc>
        <w:tc>
          <w:tcPr>
            <w:tcW w:w="1842" w:type="dxa"/>
            <w:vAlign w:val="top"/>
          </w:tcPr>
          <w:p w14:paraId="5D1AAAB5">
            <w:pPr>
              <w:spacing w:before="297" w:line="207" w:lineRule="auto"/>
              <w:ind w:left="294"/>
              <w:rPr>
                <w:rFonts w:hint="eastAsia" w:ascii="宋体" w:hAnsi="宋体" w:eastAsia="宋体" w:cs="宋体"/>
                <w:sz w:val="18"/>
                <w:szCs w:val="18"/>
              </w:rPr>
            </w:pPr>
            <w:r>
              <w:rPr>
                <w:rFonts w:hint="eastAsia" w:ascii="宋体" w:hAnsi="宋体" w:eastAsia="宋体" w:cs="宋体"/>
                <w:spacing w:val="-2"/>
                <w:sz w:val="18"/>
                <w:szCs w:val="18"/>
              </w:rPr>
              <w:t>项目及合同编号</w:t>
            </w:r>
          </w:p>
        </w:tc>
        <w:tc>
          <w:tcPr>
            <w:tcW w:w="1994" w:type="dxa"/>
            <w:vAlign w:val="top"/>
          </w:tcPr>
          <w:p w14:paraId="428EF6C0">
            <w:pPr>
              <w:pStyle w:val="37"/>
              <w:rPr>
                <w:rFonts w:hint="eastAsia" w:ascii="宋体" w:hAnsi="宋体" w:eastAsia="宋体" w:cs="宋体"/>
              </w:rPr>
            </w:pPr>
          </w:p>
        </w:tc>
        <w:tc>
          <w:tcPr>
            <w:tcW w:w="2127" w:type="dxa"/>
            <w:vAlign w:val="top"/>
          </w:tcPr>
          <w:p w14:paraId="43DA86C5">
            <w:pPr>
              <w:spacing w:before="297" w:line="208" w:lineRule="auto"/>
              <w:ind w:left="699"/>
              <w:rPr>
                <w:rFonts w:hint="eastAsia" w:ascii="宋体" w:hAnsi="宋体" w:eastAsia="宋体" w:cs="宋体"/>
                <w:sz w:val="18"/>
                <w:szCs w:val="18"/>
              </w:rPr>
            </w:pPr>
            <w:r>
              <w:rPr>
                <w:rFonts w:hint="eastAsia" w:ascii="宋体" w:hAnsi="宋体" w:eastAsia="宋体" w:cs="宋体"/>
                <w:spacing w:val="-2"/>
                <w:sz w:val="18"/>
                <w:szCs w:val="18"/>
              </w:rPr>
              <w:t>合同金额</w:t>
            </w:r>
          </w:p>
        </w:tc>
        <w:tc>
          <w:tcPr>
            <w:tcW w:w="4424" w:type="dxa"/>
            <w:gridSpan w:val="2"/>
            <w:vAlign w:val="top"/>
          </w:tcPr>
          <w:p w14:paraId="47915319">
            <w:pPr>
              <w:pStyle w:val="37"/>
              <w:rPr>
                <w:rFonts w:hint="eastAsia" w:ascii="宋体" w:hAnsi="宋体" w:eastAsia="宋体" w:cs="宋体"/>
              </w:rPr>
            </w:pPr>
          </w:p>
        </w:tc>
      </w:tr>
      <w:tr w14:paraId="1E822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815" w:type="dxa"/>
            <w:vAlign w:val="top"/>
          </w:tcPr>
          <w:p w14:paraId="47FA57F0">
            <w:pPr>
              <w:spacing w:before="265" w:line="240" w:lineRule="exact"/>
              <w:ind w:left="283"/>
              <w:rPr>
                <w:rFonts w:hint="eastAsia" w:ascii="宋体" w:hAnsi="宋体" w:eastAsia="宋体" w:cs="宋体"/>
                <w:sz w:val="18"/>
                <w:szCs w:val="18"/>
              </w:rPr>
            </w:pPr>
            <w:r>
              <w:rPr>
                <w:rFonts w:hint="eastAsia" w:ascii="宋体" w:hAnsi="宋体" w:eastAsia="宋体" w:cs="宋体"/>
                <w:spacing w:val="-2"/>
                <w:position w:val="1"/>
                <w:sz w:val="18"/>
                <w:szCs w:val="18"/>
              </w:rPr>
              <w:t>分期（段）验收</w:t>
            </w:r>
          </w:p>
        </w:tc>
        <w:tc>
          <w:tcPr>
            <w:tcW w:w="1972" w:type="dxa"/>
            <w:vAlign w:val="top"/>
          </w:tcPr>
          <w:p w14:paraId="78995F33">
            <w:pPr>
              <w:spacing w:before="265" w:line="240" w:lineRule="exact"/>
              <w:ind w:left="494"/>
              <w:rPr>
                <w:rFonts w:hint="eastAsia" w:ascii="宋体" w:hAnsi="宋体" w:eastAsia="宋体" w:cs="宋体"/>
                <w:sz w:val="18"/>
                <w:szCs w:val="18"/>
              </w:rPr>
            </w:pPr>
            <w:r>
              <w:rPr>
                <w:rFonts w:hint="eastAsia" w:ascii="宋体" w:hAnsi="宋体" w:eastAsia="宋体" w:cs="宋体"/>
                <w:spacing w:val="-6"/>
                <w:position w:val="1"/>
                <w:sz w:val="18"/>
                <w:szCs w:val="18"/>
              </w:rPr>
              <w:t>是□</w:t>
            </w:r>
            <w:r>
              <w:rPr>
                <w:rFonts w:hint="eastAsia" w:ascii="宋体" w:hAnsi="宋体" w:eastAsia="宋体" w:cs="宋体"/>
                <w:spacing w:val="4"/>
                <w:position w:val="1"/>
                <w:sz w:val="18"/>
                <w:szCs w:val="18"/>
              </w:rPr>
              <w:t xml:space="preserve">   </w:t>
            </w:r>
            <w:r>
              <w:rPr>
                <w:rFonts w:hint="eastAsia" w:ascii="宋体" w:hAnsi="宋体" w:eastAsia="宋体" w:cs="宋体"/>
                <w:spacing w:val="-6"/>
                <w:position w:val="1"/>
                <w:sz w:val="18"/>
                <w:szCs w:val="18"/>
              </w:rPr>
              <w:t>否□</w:t>
            </w:r>
          </w:p>
        </w:tc>
        <w:tc>
          <w:tcPr>
            <w:tcW w:w="1842" w:type="dxa"/>
            <w:vAlign w:val="top"/>
          </w:tcPr>
          <w:p w14:paraId="579EF34C">
            <w:pPr>
              <w:spacing w:before="265" w:line="240" w:lineRule="exact"/>
              <w:ind w:left="293"/>
              <w:rPr>
                <w:rFonts w:hint="eastAsia" w:ascii="宋体" w:hAnsi="宋体" w:eastAsia="宋体" w:cs="宋体"/>
                <w:sz w:val="18"/>
                <w:szCs w:val="18"/>
              </w:rPr>
            </w:pPr>
            <w:r>
              <w:rPr>
                <w:rFonts w:hint="eastAsia" w:ascii="宋体" w:hAnsi="宋体" w:eastAsia="宋体" w:cs="宋体"/>
                <w:spacing w:val="-2"/>
                <w:position w:val="1"/>
                <w:sz w:val="18"/>
                <w:szCs w:val="18"/>
              </w:rPr>
              <w:t>分期（段）情况</w:t>
            </w:r>
          </w:p>
        </w:tc>
        <w:tc>
          <w:tcPr>
            <w:tcW w:w="8545" w:type="dxa"/>
            <w:gridSpan w:val="4"/>
            <w:vAlign w:val="top"/>
          </w:tcPr>
          <w:p w14:paraId="31B23B8F">
            <w:pPr>
              <w:spacing w:before="265" w:line="240" w:lineRule="exact"/>
              <w:ind w:left="2564"/>
              <w:rPr>
                <w:rFonts w:hint="eastAsia" w:ascii="宋体" w:hAnsi="宋体" w:eastAsia="宋体" w:cs="宋体"/>
                <w:sz w:val="18"/>
                <w:szCs w:val="18"/>
              </w:rPr>
            </w:pPr>
            <w:r>
              <w:rPr>
                <w:rFonts w:hint="eastAsia" w:ascii="宋体" w:hAnsi="宋体" w:eastAsia="宋体" w:cs="宋体"/>
                <w:spacing w:val="-1"/>
                <w:position w:val="1"/>
                <w:sz w:val="18"/>
                <w:szCs w:val="18"/>
              </w:rPr>
              <w:t>共分   期（段</w:t>
            </w:r>
            <w:r>
              <w:rPr>
                <w:rFonts w:hint="eastAsia" w:ascii="宋体" w:hAnsi="宋体" w:eastAsia="宋体" w:cs="宋体"/>
                <w:spacing w:val="6"/>
                <w:position w:val="1"/>
                <w:sz w:val="18"/>
                <w:szCs w:val="18"/>
              </w:rPr>
              <w:t>），</w:t>
            </w:r>
            <w:r>
              <w:rPr>
                <w:rFonts w:hint="eastAsia" w:ascii="宋体" w:hAnsi="宋体" w:eastAsia="宋体" w:cs="宋体"/>
                <w:spacing w:val="-1"/>
                <w:position w:val="1"/>
                <w:sz w:val="18"/>
                <w:szCs w:val="18"/>
              </w:rPr>
              <w:t>此为第   期（段）验收</w:t>
            </w:r>
          </w:p>
        </w:tc>
      </w:tr>
      <w:tr w14:paraId="5CC3C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815" w:type="dxa"/>
            <w:vAlign w:val="top"/>
          </w:tcPr>
          <w:p w14:paraId="44A566ED">
            <w:pPr>
              <w:pStyle w:val="37"/>
              <w:spacing w:line="256" w:lineRule="auto"/>
              <w:rPr>
                <w:rFonts w:hint="eastAsia" w:ascii="宋体" w:hAnsi="宋体" w:eastAsia="宋体" w:cs="宋体"/>
              </w:rPr>
            </w:pPr>
          </w:p>
          <w:p w14:paraId="0890E72C">
            <w:pPr>
              <w:spacing w:before="58" w:line="208" w:lineRule="auto"/>
              <w:ind w:firstLine="352" w:firstLineChars="200"/>
              <w:rPr>
                <w:rFonts w:hint="eastAsia" w:ascii="宋体" w:hAnsi="宋体" w:eastAsia="宋体" w:cs="宋体"/>
                <w:sz w:val="18"/>
                <w:szCs w:val="18"/>
              </w:rPr>
            </w:pPr>
            <w:r>
              <w:rPr>
                <w:rFonts w:hint="eastAsia" w:ascii="宋体" w:hAnsi="宋体" w:eastAsia="宋体" w:cs="宋体"/>
                <w:spacing w:val="-2"/>
                <w:sz w:val="18"/>
                <w:szCs w:val="18"/>
              </w:rPr>
              <w:t>验收时间</w:t>
            </w:r>
          </w:p>
        </w:tc>
        <w:tc>
          <w:tcPr>
            <w:tcW w:w="1972" w:type="dxa"/>
            <w:vAlign w:val="top"/>
          </w:tcPr>
          <w:p w14:paraId="1AE8B28F">
            <w:pPr>
              <w:pStyle w:val="37"/>
              <w:rPr>
                <w:rFonts w:hint="eastAsia" w:ascii="宋体" w:hAnsi="宋体" w:eastAsia="宋体" w:cs="宋体"/>
              </w:rPr>
            </w:pPr>
          </w:p>
        </w:tc>
        <w:tc>
          <w:tcPr>
            <w:tcW w:w="1842" w:type="dxa"/>
            <w:vAlign w:val="top"/>
          </w:tcPr>
          <w:p w14:paraId="28EDE87D">
            <w:pPr>
              <w:pStyle w:val="37"/>
              <w:spacing w:line="256" w:lineRule="auto"/>
              <w:rPr>
                <w:rFonts w:hint="eastAsia" w:ascii="宋体" w:hAnsi="宋体" w:eastAsia="宋体" w:cs="宋体"/>
              </w:rPr>
            </w:pPr>
          </w:p>
          <w:p w14:paraId="70BA141F">
            <w:pPr>
              <w:spacing w:before="58" w:line="208" w:lineRule="auto"/>
              <w:ind w:firstLine="352" w:firstLineChars="200"/>
              <w:rPr>
                <w:rFonts w:hint="eastAsia" w:ascii="宋体" w:hAnsi="宋体" w:eastAsia="宋体" w:cs="宋体"/>
                <w:sz w:val="18"/>
                <w:szCs w:val="18"/>
              </w:rPr>
            </w:pPr>
            <w:r>
              <w:rPr>
                <w:rFonts w:hint="eastAsia" w:ascii="宋体" w:hAnsi="宋体" w:eastAsia="宋体" w:cs="宋体"/>
                <w:spacing w:val="-2"/>
                <w:sz w:val="18"/>
                <w:szCs w:val="18"/>
              </w:rPr>
              <w:t>验收地点</w:t>
            </w:r>
          </w:p>
        </w:tc>
        <w:tc>
          <w:tcPr>
            <w:tcW w:w="1994" w:type="dxa"/>
            <w:vAlign w:val="top"/>
          </w:tcPr>
          <w:p w14:paraId="380202D0">
            <w:pPr>
              <w:pStyle w:val="37"/>
              <w:rPr>
                <w:rFonts w:hint="eastAsia" w:ascii="宋体" w:hAnsi="宋体" w:eastAsia="宋体" w:cs="宋体"/>
              </w:rPr>
            </w:pPr>
          </w:p>
        </w:tc>
        <w:tc>
          <w:tcPr>
            <w:tcW w:w="2127" w:type="dxa"/>
            <w:vAlign w:val="top"/>
          </w:tcPr>
          <w:p w14:paraId="4C0748DC">
            <w:pPr>
              <w:pStyle w:val="37"/>
              <w:spacing w:line="256" w:lineRule="auto"/>
              <w:rPr>
                <w:rFonts w:hint="eastAsia" w:ascii="宋体" w:hAnsi="宋体" w:eastAsia="宋体" w:cs="宋体"/>
              </w:rPr>
            </w:pPr>
          </w:p>
          <w:p w14:paraId="5089FACB">
            <w:pPr>
              <w:spacing w:before="59" w:line="208" w:lineRule="auto"/>
              <w:ind w:firstLine="352" w:firstLineChars="200"/>
              <w:rPr>
                <w:rFonts w:hint="eastAsia" w:ascii="宋体" w:hAnsi="宋体" w:eastAsia="宋体" w:cs="宋体"/>
                <w:sz w:val="18"/>
                <w:szCs w:val="18"/>
              </w:rPr>
            </w:pPr>
            <w:r>
              <w:rPr>
                <w:rFonts w:hint="eastAsia" w:ascii="宋体" w:hAnsi="宋体" w:eastAsia="宋体" w:cs="宋体"/>
                <w:spacing w:val="-2"/>
                <w:sz w:val="18"/>
                <w:szCs w:val="18"/>
              </w:rPr>
              <w:t>验收组织形式</w:t>
            </w:r>
          </w:p>
        </w:tc>
        <w:tc>
          <w:tcPr>
            <w:tcW w:w="4424" w:type="dxa"/>
            <w:gridSpan w:val="2"/>
            <w:vAlign w:val="top"/>
          </w:tcPr>
          <w:p w14:paraId="17597D7A">
            <w:pPr>
              <w:spacing w:before="266" w:line="240" w:lineRule="exact"/>
              <w:ind w:left="1599"/>
              <w:rPr>
                <w:rFonts w:hint="eastAsia" w:ascii="宋体" w:hAnsi="宋体" w:eastAsia="宋体" w:cs="宋体"/>
                <w:sz w:val="18"/>
                <w:szCs w:val="18"/>
              </w:rPr>
            </w:pPr>
            <w:r>
              <w:rPr>
                <w:rFonts w:hint="eastAsia" w:ascii="宋体" w:hAnsi="宋体" w:eastAsia="宋体" w:cs="宋体"/>
                <w:spacing w:val="-4"/>
                <w:position w:val="1"/>
                <w:sz w:val="18"/>
                <w:szCs w:val="18"/>
              </w:rPr>
              <w:t>□验收小组验收</w:t>
            </w:r>
          </w:p>
          <w:p w14:paraId="50D28EDF">
            <w:pPr>
              <w:spacing w:before="59" w:line="238" w:lineRule="exact"/>
              <w:ind w:firstLine="1566" w:firstLineChars="900"/>
              <w:rPr>
                <w:rFonts w:hint="eastAsia" w:ascii="宋体" w:hAnsi="宋体" w:eastAsia="宋体" w:cs="宋体"/>
                <w:sz w:val="18"/>
                <w:szCs w:val="18"/>
              </w:rPr>
            </w:pPr>
            <w:r>
              <w:rPr>
                <w:rFonts w:hint="eastAsia" w:ascii="宋体" w:hAnsi="宋体" w:eastAsia="宋体" w:cs="宋体"/>
                <w:spacing w:val="-3"/>
                <w:position w:val="1"/>
                <w:sz w:val="18"/>
                <w:szCs w:val="18"/>
                <w:lang w:eastAsia="zh-CN"/>
              </w:rPr>
              <w:t>□</w:t>
            </w:r>
            <w:r>
              <w:rPr>
                <w:rFonts w:hint="eastAsia" w:ascii="宋体" w:hAnsi="宋体" w:eastAsia="宋体" w:cs="宋体"/>
                <w:spacing w:val="-3"/>
                <w:position w:val="1"/>
                <w:sz w:val="18"/>
                <w:szCs w:val="18"/>
              </w:rPr>
              <w:t>采购代理机构验收</w:t>
            </w:r>
          </w:p>
        </w:tc>
      </w:tr>
      <w:tr w14:paraId="0C71C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815" w:type="dxa"/>
            <w:vMerge w:val="restart"/>
            <w:tcBorders>
              <w:bottom w:val="nil"/>
            </w:tcBorders>
            <w:vAlign w:val="top"/>
          </w:tcPr>
          <w:p w14:paraId="3A6688E6">
            <w:pPr>
              <w:pStyle w:val="37"/>
              <w:spacing w:line="268" w:lineRule="auto"/>
              <w:rPr>
                <w:rFonts w:hint="eastAsia" w:ascii="宋体" w:hAnsi="宋体" w:eastAsia="宋体" w:cs="宋体"/>
              </w:rPr>
            </w:pPr>
          </w:p>
          <w:p w14:paraId="15481473">
            <w:pPr>
              <w:pStyle w:val="37"/>
              <w:spacing w:line="268" w:lineRule="auto"/>
              <w:rPr>
                <w:rFonts w:hint="eastAsia" w:ascii="宋体" w:hAnsi="宋体" w:eastAsia="宋体" w:cs="宋体"/>
              </w:rPr>
            </w:pPr>
          </w:p>
          <w:p w14:paraId="05045D4C">
            <w:pPr>
              <w:pStyle w:val="37"/>
              <w:spacing w:line="268" w:lineRule="auto"/>
              <w:rPr>
                <w:rFonts w:hint="eastAsia" w:ascii="宋体" w:hAnsi="宋体" w:eastAsia="宋体" w:cs="宋体"/>
              </w:rPr>
            </w:pPr>
          </w:p>
          <w:p w14:paraId="39AD5352">
            <w:pPr>
              <w:pStyle w:val="37"/>
              <w:spacing w:line="268" w:lineRule="auto"/>
              <w:rPr>
                <w:rFonts w:hint="eastAsia" w:ascii="宋体" w:hAnsi="宋体" w:eastAsia="宋体" w:cs="宋体"/>
              </w:rPr>
            </w:pPr>
          </w:p>
          <w:p w14:paraId="451DFFC1">
            <w:pPr>
              <w:spacing w:before="59" w:line="208" w:lineRule="auto"/>
              <w:ind w:left="549"/>
              <w:rPr>
                <w:rFonts w:hint="eastAsia" w:ascii="宋体" w:hAnsi="宋体" w:eastAsia="宋体" w:cs="宋体"/>
                <w:sz w:val="18"/>
                <w:szCs w:val="18"/>
              </w:rPr>
            </w:pPr>
            <w:r>
              <w:rPr>
                <w:rFonts w:hint="eastAsia" w:ascii="宋体" w:hAnsi="宋体" w:eastAsia="宋体" w:cs="宋体"/>
                <w:spacing w:val="-2"/>
                <w:sz w:val="18"/>
                <w:szCs w:val="18"/>
              </w:rPr>
              <w:t>验收内容</w:t>
            </w:r>
          </w:p>
        </w:tc>
        <w:tc>
          <w:tcPr>
            <w:tcW w:w="1972" w:type="dxa"/>
            <w:vAlign w:val="top"/>
          </w:tcPr>
          <w:p w14:paraId="0E00CAE7">
            <w:pPr>
              <w:pStyle w:val="37"/>
              <w:spacing w:line="257" w:lineRule="auto"/>
              <w:rPr>
                <w:rFonts w:hint="eastAsia" w:ascii="宋体" w:hAnsi="宋体" w:eastAsia="宋体" w:cs="宋体"/>
              </w:rPr>
            </w:pPr>
          </w:p>
          <w:p w14:paraId="5096F101">
            <w:pPr>
              <w:pStyle w:val="37"/>
              <w:spacing w:line="258" w:lineRule="auto"/>
              <w:rPr>
                <w:rFonts w:hint="eastAsia" w:ascii="宋体" w:hAnsi="宋体" w:eastAsia="宋体" w:cs="宋体"/>
              </w:rPr>
            </w:pPr>
          </w:p>
          <w:p w14:paraId="02C14E15">
            <w:pPr>
              <w:spacing w:before="59" w:line="207" w:lineRule="auto"/>
              <w:ind w:left="625"/>
              <w:rPr>
                <w:rFonts w:hint="eastAsia" w:ascii="宋体" w:hAnsi="宋体" w:eastAsia="宋体" w:cs="宋体"/>
                <w:sz w:val="18"/>
                <w:szCs w:val="18"/>
              </w:rPr>
            </w:pPr>
            <w:r>
              <w:rPr>
                <w:rFonts w:hint="eastAsia" w:ascii="宋体" w:hAnsi="宋体" w:eastAsia="宋体" w:cs="宋体"/>
                <w:spacing w:val="-2"/>
                <w:sz w:val="18"/>
                <w:szCs w:val="18"/>
              </w:rPr>
              <w:t>施工内容</w:t>
            </w:r>
          </w:p>
        </w:tc>
        <w:tc>
          <w:tcPr>
            <w:tcW w:w="1842" w:type="dxa"/>
            <w:vAlign w:val="top"/>
          </w:tcPr>
          <w:p w14:paraId="1F58EFD4">
            <w:pPr>
              <w:pStyle w:val="37"/>
              <w:spacing w:line="257" w:lineRule="auto"/>
              <w:rPr>
                <w:rFonts w:hint="eastAsia" w:ascii="宋体" w:hAnsi="宋体" w:eastAsia="宋体" w:cs="宋体"/>
              </w:rPr>
            </w:pPr>
          </w:p>
          <w:p w14:paraId="25509015">
            <w:pPr>
              <w:pStyle w:val="37"/>
              <w:spacing w:line="257" w:lineRule="auto"/>
              <w:rPr>
                <w:rFonts w:hint="eastAsia" w:ascii="宋体" w:hAnsi="宋体" w:eastAsia="宋体" w:cs="宋体"/>
              </w:rPr>
            </w:pPr>
          </w:p>
          <w:p w14:paraId="695F6D02">
            <w:pPr>
              <w:spacing w:before="59" w:line="208" w:lineRule="auto"/>
              <w:ind w:left="561"/>
              <w:rPr>
                <w:rFonts w:hint="eastAsia" w:ascii="宋体" w:hAnsi="宋体" w:eastAsia="宋体" w:cs="宋体"/>
                <w:sz w:val="18"/>
                <w:szCs w:val="18"/>
              </w:rPr>
            </w:pPr>
            <w:r>
              <w:rPr>
                <w:rFonts w:hint="eastAsia" w:ascii="宋体" w:hAnsi="宋体" w:eastAsia="宋体" w:cs="宋体"/>
                <w:spacing w:val="-2"/>
                <w:sz w:val="18"/>
                <w:szCs w:val="18"/>
              </w:rPr>
              <w:t>施工进度</w:t>
            </w:r>
          </w:p>
        </w:tc>
        <w:tc>
          <w:tcPr>
            <w:tcW w:w="1994" w:type="dxa"/>
            <w:vAlign w:val="top"/>
          </w:tcPr>
          <w:p w14:paraId="454596D2">
            <w:pPr>
              <w:pStyle w:val="37"/>
              <w:spacing w:line="257" w:lineRule="auto"/>
              <w:rPr>
                <w:rFonts w:hint="eastAsia" w:ascii="宋体" w:hAnsi="宋体" w:eastAsia="宋体" w:cs="宋体"/>
              </w:rPr>
            </w:pPr>
          </w:p>
          <w:p w14:paraId="7475F18C">
            <w:pPr>
              <w:pStyle w:val="37"/>
              <w:spacing w:line="258" w:lineRule="auto"/>
              <w:rPr>
                <w:rFonts w:hint="eastAsia" w:ascii="宋体" w:hAnsi="宋体" w:eastAsia="宋体" w:cs="宋体"/>
              </w:rPr>
            </w:pPr>
          </w:p>
          <w:p w14:paraId="66BA56E0">
            <w:pPr>
              <w:spacing w:before="59" w:line="207" w:lineRule="auto"/>
              <w:ind w:left="637"/>
              <w:rPr>
                <w:rFonts w:hint="eastAsia" w:ascii="宋体" w:hAnsi="宋体" w:eastAsia="宋体" w:cs="宋体"/>
                <w:sz w:val="18"/>
                <w:szCs w:val="18"/>
              </w:rPr>
            </w:pPr>
            <w:r>
              <w:rPr>
                <w:rFonts w:hint="eastAsia" w:ascii="宋体" w:hAnsi="宋体" w:eastAsia="宋体" w:cs="宋体"/>
                <w:spacing w:val="-2"/>
                <w:sz w:val="18"/>
                <w:szCs w:val="18"/>
              </w:rPr>
              <w:t>施工质量</w:t>
            </w:r>
          </w:p>
        </w:tc>
        <w:tc>
          <w:tcPr>
            <w:tcW w:w="2127" w:type="dxa"/>
            <w:vAlign w:val="top"/>
          </w:tcPr>
          <w:p w14:paraId="7FD6550B">
            <w:pPr>
              <w:spacing w:before="296" w:line="207" w:lineRule="auto"/>
              <w:ind w:left="719"/>
              <w:rPr>
                <w:rFonts w:hint="eastAsia" w:ascii="宋体" w:hAnsi="宋体" w:eastAsia="宋体" w:cs="宋体"/>
                <w:sz w:val="18"/>
                <w:szCs w:val="18"/>
              </w:rPr>
            </w:pPr>
            <w:r>
              <w:rPr>
                <w:rFonts w:hint="eastAsia" w:ascii="宋体" w:hAnsi="宋体" w:eastAsia="宋体" w:cs="宋体"/>
                <w:spacing w:val="-2"/>
                <w:sz w:val="18"/>
                <w:szCs w:val="18"/>
              </w:rPr>
              <w:t>施工人员</w:t>
            </w:r>
          </w:p>
          <w:p w14:paraId="3CDB0357">
            <w:pPr>
              <w:pStyle w:val="37"/>
              <w:spacing w:line="299" w:lineRule="auto"/>
              <w:rPr>
                <w:rFonts w:hint="eastAsia" w:ascii="宋体" w:hAnsi="宋体" w:eastAsia="宋体" w:cs="宋体"/>
              </w:rPr>
            </w:pPr>
          </w:p>
          <w:p w14:paraId="46B9745A">
            <w:pPr>
              <w:spacing w:before="58" w:line="207" w:lineRule="auto"/>
              <w:ind w:left="720"/>
              <w:rPr>
                <w:rFonts w:hint="eastAsia" w:ascii="宋体" w:hAnsi="宋体" w:eastAsia="宋体" w:cs="宋体"/>
                <w:sz w:val="18"/>
                <w:szCs w:val="18"/>
              </w:rPr>
            </w:pPr>
            <w:r>
              <w:rPr>
                <w:rFonts w:hint="eastAsia" w:ascii="宋体" w:hAnsi="宋体" w:eastAsia="宋体" w:cs="宋体"/>
                <w:spacing w:val="-2"/>
                <w:sz w:val="18"/>
                <w:szCs w:val="18"/>
              </w:rPr>
              <w:t>配备情况</w:t>
            </w:r>
          </w:p>
        </w:tc>
        <w:tc>
          <w:tcPr>
            <w:tcW w:w="2164" w:type="dxa"/>
            <w:vAlign w:val="top"/>
          </w:tcPr>
          <w:p w14:paraId="1D2EDC87">
            <w:pPr>
              <w:spacing w:before="296" w:line="207" w:lineRule="auto"/>
              <w:ind w:left="754"/>
              <w:rPr>
                <w:rFonts w:hint="eastAsia" w:ascii="宋体" w:hAnsi="宋体" w:eastAsia="宋体" w:cs="宋体"/>
                <w:sz w:val="18"/>
                <w:szCs w:val="18"/>
              </w:rPr>
            </w:pPr>
            <w:r>
              <w:rPr>
                <w:rFonts w:hint="eastAsia" w:ascii="宋体" w:hAnsi="宋体" w:eastAsia="宋体" w:cs="宋体"/>
                <w:spacing w:val="-2"/>
                <w:sz w:val="18"/>
                <w:szCs w:val="18"/>
              </w:rPr>
              <w:t>施工设备</w:t>
            </w:r>
          </w:p>
          <w:p w14:paraId="28A412D5">
            <w:pPr>
              <w:pStyle w:val="37"/>
              <w:spacing w:line="299" w:lineRule="auto"/>
              <w:rPr>
                <w:rFonts w:hint="eastAsia" w:ascii="宋体" w:hAnsi="宋体" w:eastAsia="宋体" w:cs="宋体"/>
              </w:rPr>
            </w:pPr>
          </w:p>
          <w:p w14:paraId="1AEEFAAC">
            <w:pPr>
              <w:spacing w:before="58" w:line="207" w:lineRule="auto"/>
              <w:ind w:left="755"/>
              <w:rPr>
                <w:rFonts w:hint="eastAsia" w:ascii="宋体" w:hAnsi="宋体" w:eastAsia="宋体" w:cs="宋体"/>
                <w:sz w:val="18"/>
                <w:szCs w:val="18"/>
              </w:rPr>
            </w:pPr>
            <w:r>
              <w:rPr>
                <w:rFonts w:hint="eastAsia" w:ascii="宋体" w:hAnsi="宋体" w:eastAsia="宋体" w:cs="宋体"/>
                <w:spacing w:val="-2"/>
                <w:sz w:val="18"/>
                <w:szCs w:val="18"/>
              </w:rPr>
              <w:t>配备情况</w:t>
            </w:r>
          </w:p>
        </w:tc>
        <w:tc>
          <w:tcPr>
            <w:tcW w:w="2260" w:type="dxa"/>
            <w:vAlign w:val="top"/>
          </w:tcPr>
          <w:p w14:paraId="6E276666">
            <w:pPr>
              <w:pStyle w:val="37"/>
              <w:spacing w:line="257" w:lineRule="auto"/>
              <w:rPr>
                <w:rFonts w:hint="eastAsia" w:ascii="宋体" w:hAnsi="宋体" w:eastAsia="宋体" w:cs="宋体"/>
              </w:rPr>
            </w:pPr>
          </w:p>
          <w:p w14:paraId="6D24E9F5">
            <w:pPr>
              <w:pStyle w:val="37"/>
              <w:spacing w:line="257" w:lineRule="auto"/>
              <w:rPr>
                <w:rFonts w:hint="eastAsia" w:ascii="宋体" w:hAnsi="宋体" w:eastAsia="宋体" w:cs="宋体"/>
              </w:rPr>
            </w:pPr>
          </w:p>
          <w:p w14:paraId="2CE09FE8">
            <w:pPr>
              <w:spacing w:before="59" w:line="208" w:lineRule="auto"/>
              <w:ind w:left="613"/>
              <w:rPr>
                <w:rFonts w:hint="eastAsia" w:ascii="宋体" w:hAnsi="宋体" w:eastAsia="宋体" w:cs="宋体"/>
                <w:sz w:val="18"/>
                <w:szCs w:val="18"/>
              </w:rPr>
            </w:pPr>
            <w:r>
              <w:rPr>
                <w:rFonts w:hint="eastAsia" w:ascii="宋体" w:hAnsi="宋体" w:eastAsia="宋体" w:cs="宋体"/>
                <w:spacing w:val="-2"/>
                <w:sz w:val="18"/>
                <w:szCs w:val="18"/>
              </w:rPr>
              <w:t>安全文明标准</w:t>
            </w:r>
          </w:p>
        </w:tc>
      </w:tr>
      <w:tr w14:paraId="1124B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815" w:type="dxa"/>
            <w:vMerge w:val="continue"/>
            <w:tcBorders>
              <w:top w:val="nil"/>
            </w:tcBorders>
            <w:vAlign w:val="top"/>
          </w:tcPr>
          <w:p w14:paraId="5856735C">
            <w:pPr>
              <w:pStyle w:val="37"/>
              <w:rPr>
                <w:rFonts w:hint="eastAsia" w:ascii="宋体" w:hAnsi="宋体" w:eastAsia="宋体" w:cs="宋体"/>
              </w:rPr>
            </w:pPr>
          </w:p>
        </w:tc>
        <w:tc>
          <w:tcPr>
            <w:tcW w:w="1972" w:type="dxa"/>
            <w:vAlign w:val="top"/>
          </w:tcPr>
          <w:p w14:paraId="25FE8676">
            <w:pPr>
              <w:spacing w:before="267" w:line="240" w:lineRule="exact"/>
              <w:ind w:left="718"/>
              <w:rPr>
                <w:rFonts w:hint="eastAsia" w:ascii="宋体" w:hAnsi="宋体" w:eastAsia="宋体" w:cs="宋体"/>
                <w:sz w:val="18"/>
                <w:szCs w:val="18"/>
              </w:rPr>
            </w:pPr>
            <w:r>
              <w:rPr>
                <w:rFonts w:hint="eastAsia" w:ascii="宋体" w:hAnsi="宋体" w:eastAsia="宋体" w:cs="宋体"/>
                <w:spacing w:val="-3"/>
                <w:position w:val="1"/>
                <w:sz w:val="18"/>
                <w:szCs w:val="18"/>
              </w:rPr>
              <w:t>合格□</w:t>
            </w:r>
          </w:p>
          <w:p w14:paraId="03C09C1D">
            <w:pPr>
              <w:pStyle w:val="37"/>
              <w:spacing w:line="259" w:lineRule="auto"/>
              <w:rPr>
                <w:rFonts w:hint="eastAsia" w:ascii="宋体" w:hAnsi="宋体" w:eastAsia="宋体" w:cs="宋体"/>
              </w:rPr>
            </w:pPr>
          </w:p>
          <w:p w14:paraId="3821E334">
            <w:pPr>
              <w:spacing w:before="59" w:line="239" w:lineRule="exact"/>
              <w:ind w:left="629"/>
              <w:rPr>
                <w:rFonts w:hint="eastAsia" w:ascii="宋体" w:hAnsi="宋体" w:eastAsia="宋体" w:cs="宋体"/>
                <w:sz w:val="18"/>
                <w:szCs w:val="18"/>
              </w:rPr>
            </w:pPr>
            <w:r>
              <w:rPr>
                <w:rFonts w:hint="eastAsia" w:ascii="宋体" w:hAnsi="宋体" w:eastAsia="宋体" w:cs="宋体"/>
                <w:spacing w:val="-3"/>
                <w:position w:val="1"/>
                <w:sz w:val="18"/>
                <w:szCs w:val="18"/>
              </w:rPr>
              <w:t>不合格□</w:t>
            </w:r>
          </w:p>
        </w:tc>
        <w:tc>
          <w:tcPr>
            <w:tcW w:w="1842" w:type="dxa"/>
            <w:vAlign w:val="top"/>
          </w:tcPr>
          <w:p w14:paraId="5BDAAE14">
            <w:pPr>
              <w:spacing w:before="267" w:line="240" w:lineRule="exact"/>
              <w:ind w:left="563"/>
              <w:rPr>
                <w:rFonts w:hint="eastAsia" w:ascii="宋体" w:hAnsi="宋体" w:eastAsia="宋体" w:cs="宋体"/>
                <w:sz w:val="18"/>
                <w:szCs w:val="18"/>
              </w:rPr>
            </w:pPr>
            <w:r>
              <w:rPr>
                <w:rFonts w:hint="eastAsia" w:ascii="宋体" w:hAnsi="宋体" w:eastAsia="宋体" w:cs="宋体"/>
                <w:spacing w:val="-5"/>
                <w:position w:val="1"/>
                <w:sz w:val="18"/>
                <w:szCs w:val="18"/>
              </w:rPr>
              <w:t>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格□</w:t>
            </w:r>
          </w:p>
          <w:p w14:paraId="062356FE">
            <w:pPr>
              <w:pStyle w:val="37"/>
              <w:spacing w:line="259" w:lineRule="auto"/>
              <w:rPr>
                <w:rFonts w:hint="eastAsia" w:ascii="宋体" w:hAnsi="宋体" w:eastAsia="宋体" w:cs="宋体"/>
              </w:rPr>
            </w:pPr>
          </w:p>
          <w:p w14:paraId="5474D601">
            <w:pPr>
              <w:spacing w:before="59" w:line="239" w:lineRule="exact"/>
              <w:ind w:left="565"/>
              <w:rPr>
                <w:rFonts w:hint="eastAsia" w:ascii="宋体" w:hAnsi="宋体" w:eastAsia="宋体" w:cs="宋体"/>
                <w:sz w:val="18"/>
                <w:szCs w:val="18"/>
              </w:rPr>
            </w:pPr>
            <w:r>
              <w:rPr>
                <w:rFonts w:hint="eastAsia" w:ascii="宋体" w:hAnsi="宋体" w:eastAsia="宋体" w:cs="宋体"/>
                <w:spacing w:val="-3"/>
                <w:position w:val="1"/>
                <w:sz w:val="18"/>
                <w:szCs w:val="18"/>
              </w:rPr>
              <w:t>不合格□</w:t>
            </w:r>
          </w:p>
        </w:tc>
        <w:tc>
          <w:tcPr>
            <w:tcW w:w="1994" w:type="dxa"/>
            <w:vAlign w:val="top"/>
          </w:tcPr>
          <w:p w14:paraId="42FC8E0B">
            <w:pPr>
              <w:spacing w:before="267" w:line="240" w:lineRule="exact"/>
              <w:ind w:left="638"/>
              <w:rPr>
                <w:rFonts w:hint="eastAsia" w:ascii="宋体" w:hAnsi="宋体" w:eastAsia="宋体" w:cs="宋体"/>
                <w:sz w:val="18"/>
                <w:szCs w:val="18"/>
              </w:rPr>
            </w:pPr>
            <w:r>
              <w:rPr>
                <w:rFonts w:hint="eastAsia" w:ascii="宋体" w:hAnsi="宋体" w:eastAsia="宋体" w:cs="宋体"/>
                <w:spacing w:val="-5"/>
                <w:position w:val="1"/>
                <w:sz w:val="18"/>
                <w:szCs w:val="18"/>
              </w:rPr>
              <w:t>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格□</w:t>
            </w:r>
          </w:p>
          <w:p w14:paraId="24F3FC98">
            <w:pPr>
              <w:pStyle w:val="37"/>
              <w:spacing w:line="259" w:lineRule="auto"/>
              <w:rPr>
                <w:rFonts w:hint="eastAsia" w:ascii="宋体" w:hAnsi="宋体" w:eastAsia="宋体" w:cs="宋体"/>
              </w:rPr>
            </w:pPr>
          </w:p>
          <w:p w14:paraId="1F6E7848">
            <w:pPr>
              <w:spacing w:before="59" w:line="239" w:lineRule="exact"/>
              <w:ind w:left="640"/>
              <w:rPr>
                <w:rFonts w:hint="eastAsia" w:ascii="宋体" w:hAnsi="宋体" w:eastAsia="宋体" w:cs="宋体"/>
                <w:sz w:val="18"/>
                <w:szCs w:val="18"/>
              </w:rPr>
            </w:pPr>
            <w:r>
              <w:rPr>
                <w:rFonts w:hint="eastAsia" w:ascii="宋体" w:hAnsi="宋体" w:eastAsia="宋体" w:cs="宋体"/>
                <w:spacing w:val="-3"/>
                <w:position w:val="1"/>
                <w:sz w:val="18"/>
                <w:szCs w:val="18"/>
              </w:rPr>
              <w:t>不合格□</w:t>
            </w:r>
          </w:p>
        </w:tc>
        <w:tc>
          <w:tcPr>
            <w:tcW w:w="2127" w:type="dxa"/>
            <w:vAlign w:val="top"/>
          </w:tcPr>
          <w:p w14:paraId="1248A4F6">
            <w:pPr>
              <w:spacing w:before="267" w:line="240" w:lineRule="exact"/>
              <w:ind w:left="720"/>
              <w:rPr>
                <w:rFonts w:hint="eastAsia" w:ascii="宋体" w:hAnsi="宋体" w:eastAsia="宋体" w:cs="宋体"/>
                <w:sz w:val="18"/>
                <w:szCs w:val="18"/>
              </w:rPr>
            </w:pPr>
            <w:r>
              <w:rPr>
                <w:rFonts w:hint="eastAsia" w:ascii="宋体" w:hAnsi="宋体" w:eastAsia="宋体" w:cs="宋体"/>
                <w:spacing w:val="-5"/>
                <w:position w:val="1"/>
                <w:sz w:val="18"/>
                <w:szCs w:val="18"/>
              </w:rPr>
              <w:t>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格□</w:t>
            </w:r>
          </w:p>
          <w:p w14:paraId="57FDE272">
            <w:pPr>
              <w:pStyle w:val="37"/>
              <w:spacing w:line="259" w:lineRule="auto"/>
              <w:rPr>
                <w:rFonts w:hint="eastAsia" w:ascii="宋体" w:hAnsi="宋体" w:eastAsia="宋体" w:cs="宋体"/>
              </w:rPr>
            </w:pPr>
          </w:p>
          <w:p w14:paraId="41733EF7">
            <w:pPr>
              <w:spacing w:before="59" w:line="239" w:lineRule="exact"/>
              <w:ind w:left="722"/>
              <w:rPr>
                <w:rFonts w:hint="eastAsia" w:ascii="宋体" w:hAnsi="宋体" w:eastAsia="宋体" w:cs="宋体"/>
                <w:sz w:val="18"/>
                <w:szCs w:val="18"/>
              </w:rPr>
            </w:pPr>
            <w:r>
              <w:rPr>
                <w:rFonts w:hint="eastAsia" w:ascii="宋体" w:hAnsi="宋体" w:eastAsia="宋体" w:cs="宋体"/>
                <w:spacing w:val="-3"/>
                <w:position w:val="1"/>
                <w:sz w:val="18"/>
                <w:szCs w:val="18"/>
              </w:rPr>
              <w:t>不合格□</w:t>
            </w:r>
          </w:p>
        </w:tc>
        <w:tc>
          <w:tcPr>
            <w:tcW w:w="2164" w:type="dxa"/>
            <w:vAlign w:val="top"/>
          </w:tcPr>
          <w:p w14:paraId="34013EB0">
            <w:pPr>
              <w:spacing w:before="267" w:line="240" w:lineRule="exact"/>
              <w:ind w:left="756"/>
              <w:rPr>
                <w:rFonts w:hint="eastAsia" w:ascii="宋体" w:hAnsi="宋体" w:eastAsia="宋体" w:cs="宋体"/>
                <w:sz w:val="18"/>
                <w:szCs w:val="18"/>
              </w:rPr>
            </w:pPr>
            <w:r>
              <w:rPr>
                <w:rFonts w:hint="eastAsia" w:ascii="宋体" w:hAnsi="宋体" w:eastAsia="宋体" w:cs="宋体"/>
                <w:spacing w:val="-5"/>
                <w:position w:val="1"/>
                <w:sz w:val="18"/>
                <w:szCs w:val="18"/>
              </w:rPr>
              <w:t>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格□</w:t>
            </w:r>
          </w:p>
          <w:p w14:paraId="779693AC">
            <w:pPr>
              <w:pStyle w:val="37"/>
              <w:spacing w:line="259" w:lineRule="auto"/>
              <w:rPr>
                <w:rFonts w:hint="eastAsia" w:ascii="宋体" w:hAnsi="宋体" w:eastAsia="宋体" w:cs="宋体"/>
              </w:rPr>
            </w:pPr>
          </w:p>
          <w:p w14:paraId="65E28077">
            <w:pPr>
              <w:spacing w:before="59" w:line="239" w:lineRule="exact"/>
              <w:ind w:left="758"/>
              <w:rPr>
                <w:rFonts w:hint="eastAsia" w:ascii="宋体" w:hAnsi="宋体" w:eastAsia="宋体" w:cs="宋体"/>
                <w:sz w:val="18"/>
                <w:szCs w:val="18"/>
              </w:rPr>
            </w:pPr>
            <w:r>
              <w:rPr>
                <w:rFonts w:hint="eastAsia" w:ascii="宋体" w:hAnsi="宋体" w:eastAsia="宋体" w:cs="宋体"/>
                <w:spacing w:val="-3"/>
                <w:position w:val="1"/>
                <w:sz w:val="18"/>
                <w:szCs w:val="18"/>
              </w:rPr>
              <w:t>不合格□</w:t>
            </w:r>
          </w:p>
        </w:tc>
        <w:tc>
          <w:tcPr>
            <w:tcW w:w="2260" w:type="dxa"/>
            <w:vAlign w:val="top"/>
          </w:tcPr>
          <w:p w14:paraId="4C0E9A45">
            <w:pPr>
              <w:spacing w:before="267" w:line="240" w:lineRule="exact"/>
              <w:ind w:left="790"/>
              <w:rPr>
                <w:rFonts w:hint="eastAsia" w:ascii="宋体" w:hAnsi="宋体" w:eastAsia="宋体" w:cs="宋体"/>
                <w:sz w:val="18"/>
                <w:szCs w:val="18"/>
              </w:rPr>
            </w:pPr>
            <w:r>
              <w:rPr>
                <w:rFonts w:hint="eastAsia" w:ascii="宋体" w:hAnsi="宋体" w:eastAsia="宋体" w:cs="宋体"/>
                <w:spacing w:val="-5"/>
                <w:position w:val="1"/>
                <w:sz w:val="18"/>
                <w:szCs w:val="18"/>
              </w:rPr>
              <w:t>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格□</w:t>
            </w:r>
          </w:p>
          <w:p w14:paraId="3A309E6E">
            <w:pPr>
              <w:pStyle w:val="37"/>
              <w:spacing w:line="259" w:lineRule="auto"/>
              <w:rPr>
                <w:rFonts w:hint="eastAsia" w:ascii="宋体" w:hAnsi="宋体" w:eastAsia="宋体" w:cs="宋体"/>
              </w:rPr>
            </w:pPr>
          </w:p>
          <w:p w14:paraId="2BF8F9F3">
            <w:pPr>
              <w:spacing w:before="59" w:line="239" w:lineRule="exact"/>
              <w:ind w:left="792"/>
              <w:rPr>
                <w:rFonts w:hint="eastAsia" w:ascii="宋体" w:hAnsi="宋体" w:eastAsia="宋体" w:cs="宋体"/>
                <w:sz w:val="18"/>
                <w:szCs w:val="18"/>
              </w:rPr>
            </w:pPr>
            <w:r>
              <w:rPr>
                <w:rFonts w:hint="eastAsia" w:ascii="宋体" w:hAnsi="宋体" w:eastAsia="宋体" w:cs="宋体"/>
                <w:spacing w:val="-3"/>
                <w:position w:val="1"/>
                <w:sz w:val="18"/>
                <w:szCs w:val="18"/>
              </w:rPr>
              <w:t>不合格□</w:t>
            </w:r>
          </w:p>
        </w:tc>
      </w:tr>
      <w:tr w14:paraId="19CD9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1815" w:type="dxa"/>
            <w:vAlign w:val="top"/>
          </w:tcPr>
          <w:p w14:paraId="112A4CBA">
            <w:pPr>
              <w:spacing w:before="299" w:line="208" w:lineRule="auto"/>
              <w:ind w:left="369"/>
              <w:rPr>
                <w:rFonts w:hint="eastAsia" w:ascii="宋体" w:hAnsi="宋体" w:eastAsia="宋体" w:cs="宋体"/>
                <w:sz w:val="18"/>
                <w:szCs w:val="18"/>
              </w:rPr>
            </w:pPr>
            <w:r>
              <w:rPr>
                <w:rFonts w:hint="eastAsia" w:ascii="宋体" w:hAnsi="宋体" w:eastAsia="宋体" w:cs="宋体"/>
                <w:spacing w:val="-2"/>
                <w:sz w:val="18"/>
                <w:szCs w:val="18"/>
              </w:rPr>
              <w:t>采购代理机构</w:t>
            </w:r>
          </w:p>
          <w:p w14:paraId="67E04B88">
            <w:pPr>
              <w:spacing w:before="59" w:line="207" w:lineRule="auto"/>
              <w:ind w:firstLine="352" w:firstLineChars="200"/>
              <w:rPr>
                <w:rFonts w:hint="eastAsia" w:ascii="宋体" w:hAnsi="宋体" w:eastAsia="宋体" w:cs="宋体"/>
                <w:sz w:val="18"/>
                <w:szCs w:val="18"/>
              </w:rPr>
            </w:pPr>
            <w:r>
              <w:rPr>
                <w:rFonts w:hint="eastAsia" w:ascii="宋体" w:hAnsi="宋体" w:eastAsia="宋体" w:cs="宋体"/>
                <w:spacing w:val="-2"/>
                <w:sz w:val="18"/>
                <w:szCs w:val="18"/>
              </w:rPr>
              <w:t>情况说明</w:t>
            </w:r>
          </w:p>
        </w:tc>
        <w:tc>
          <w:tcPr>
            <w:tcW w:w="12359" w:type="dxa"/>
            <w:gridSpan w:val="6"/>
            <w:vAlign w:val="top"/>
          </w:tcPr>
          <w:p w14:paraId="56A45CE3">
            <w:pPr>
              <w:pStyle w:val="37"/>
              <w:spacing w:line="243" w:lineRule="auto"/>
              <w:rPr>
                <w:rFonts w:hint="eastAsia" w:ascii="宋体" w:hAnsi="宋体" w:eastAsia="宋体" w:cs="宋体"/>
              </w:rPr>
            </w:pPr>
          </w:p>
          <w:p w14:paraId="37865F30">
            <w:pPr>
              <w:pStyle w:val="37"/>
              <w:spacing w:line="243" w:lineRule="auto"/>
              <w:rPr>
                <w:rFonts w:hint="eastAsia" w:ascii="宋体" w:hAnsi="宋体" w:eastAsia="宋体" w:cs="宋体"/>
              </w:rPr>
            </w:pPr>
          </w:p>
          <w:p w14:paraId="41250D00">
            <w:pPr>
              <w:spacing w:before="58" w:line="239" w:lineRule="exact"/>
              <w:ind w:left="4027"/>
              <w:rPr>
                <w:rFonts w:hint="eastAsia" w:ascii="宋体" w:hAnsi="宋体" w:eastAsia="宋体" w:cs="宋体"/>
                <w:sz w:val="18"/>
                <w:szCs w:val="18"/>
              </w:rPr>
            </w:pPr>
            <w:r>
              <w:rPr>
                <w:rFonts w:hint="eastAsia" w:ascii="宋体" w:hAnsi="宋体" w:eastAsia="宋体" w:cs="宋体"/>
                <w:spacing w:val="-1"/>
                <w:position w:val="1"/>
                <w:sz w:val="18"/>
                <w:szCs w:val="18"/>
              </w:rPr>
              <w:t>（设计、监理等机构可根据实际情况，出具相关意见）</w:t>
            </w:r>
          </w:p>
        </w:tc>
      </w:tr>
      <w:tr w14:paraId="268EC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1815" w:type="dxa"/>
            <w:vAlign w:val="top"/>
          </w:tcPr>
          <w:p w14:paraId="7F9DB7D4">
            <w:pPr>
              <w:pStyle w:val="37"/>
              <w:spacing w:line="241" w:lineRule="auto"/>
              <w:rPr>
                <w:rFonts w:hint="eastAsia" w:ascii="宋体" w:hAnsi="宋体" w:eastAsia="宋体" w:cs="宋体"/>
              </w:rPr>
            </w:pPr>
          </w:p>
          <w:p w14:paraId="7A193206">
            <w:pPr>
              <w:spacing w:before="58" w:line="207" w:lineRule="auto"/>
              <w:ind w:left="460"/>
              <w:rPr>
                <w:rFonts w:hint="eastAsia" w:ascii="宋体" w:hAnsi="宋体" w:eastAsia="宋体" w:cs="宋体"/>
                <w:sz w:val="18"/>
                <w:szCs w:val="18"/>
              </w:rPr>
            </w:pPr>
            <w:r>
              <w:rPr>
                <w:rFonts w:hint="eastAsia" w:ascii="宋体" w:hAnsi="宋体" w:eastAsia="宋体" w:cs="宋体"/>
                <w:spacing w:val="-2"/>
                <w:sz w:val="18"/>
                <w:szCs w:val="18"/>
              </w:rPr>
              <w:t>存在问题和</w:t>
            </w:r>
          </w:p>
          <w:p w14:paraId="0D75B495">
            <w:pPr>
              <w:spacing w:before="58" w:line="207" w:lineRule="auto"/>
              <w:ind w:firstLine="516" w:firstLineChars="300"/>
              <w:rPr>
                <w:rFonts w:hint="eastAsia" w:ascii="宋体" w:hAnsi="宋体" w:eastAsia="宋体" w:cs="宋体"/>
                <w:sz w:val="18"/>
                <w:szCs w:val="18"/>
              </w:rPr>
            </w:pPr>
            <w:r>
              <w:rPr>
                <w:rFonts w:hint="eastAsia" w:ascii="宋体" w:hAnsi="宋体" w:eastAsia="宋体" w:cs="宋体"/>
                <w:spacing w:val="-4"/>
                <w:sz w:val="18"/>
                <w:szCs w:val="18"/>
              </w:rPr>
              <w:t>改进意见</w:t>
            </w:r>
          </w:p>
        </w:tc>
        <w:tc>
          <w:tcPr>
            <w:tcW w:w="12359" w:type="dxa"/>
            <w:gridSpan w:val="6"/>
            <w:vAlign w:val="top"/>
          </w:tcPr>
          <w:p w14:paraId="66D7E33B">
            <w:pPr>
              <w:pStyle w:val="37"/>
              <w:rPr>
                <w:rFonts w:hint="eastAsia" w:ascii="宋体" w:hAnsi="宋体" w:eastAsia="宋体" w:cs="宋体"/>
              </w:rPr>
            </w:pPr>
          </w:p>
        </w:tc>
      </w:tr>
      <w:tr w14:paraId="26B0A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815" w:type="dxa"/>
            <w:vAlign w:val="top"/>
          </w:tcPr>
          <w:p w14:paraId="16555898">
            <w:pPr>
              <w:pStyle w:val="37"/>
              <w:rPr>
                <w:rFonts w:hint="eastAsia" w:ascii="宋体" w:hAnsi="宋体" w:eastAsia="宋体" w:cs="宋体"/>
              </w:rPr>
            </w:pPr>
          </w:p>
          <w:p w14:paraId="7BDA3A6E">
            <w:pPr>
              <w:spacing w:before="59" w:line="207" w:lineRule="auto"/>
              <w:ind w:left="552"/>
              <w:rPr>
                <w:rFonts w:hint="eastAsia" w:ascii="宋体" w:hAnsi="宋体" w:eastAsia="宋体" w:cs="宋体"/>
                <w:sz w:val="18"/>
                <w:szCs w:val="18"/>
              </w:rPr>
            </w:pPr>
            <w:r>
              <w:rPr>
                <w:rFonts w:hint="eastAsia" w:ascii="宋体" w:hAnsi="宋体" w:eastAsia="宋体" w:cs="宋体"/>
                <w:spacing w:val="-3"/>
                <w:sz w:val="18"/>
                <w:szCs w:val="18"/>
              </w:rPr>
              <w:t>最终结论</w:t>
            </w:r>
          </w:p>
        </w:tc>
        <w:tc>
          <w:tcPr>
            <w:tcW w:w="12359" w:type="dxa"/>
            <w:gridSpan w:val="6"/>
            <w:vAlign w:val="top"/>
          </w:tcPr>
          <w:p w14:paraId="3B11DBD4">
            <w:pPr>
              <w:spacing w:before="270" w:line="239" w:lineRule="exact"/>
              <w:ind w:left="4111"/>
              <w:rPr>
                <w:rFonts w:hint="eastAsia" w:ascii="宋体" w:hAnsi="宋体" w:eastAsia="宋体" w:cs="宋体"/>
                <w:sz w:val="18"/>
                <w:szCs w:val="18"/>
              </w:rPr>
            </w:pPr>
            <w:r>
              <w:rPr>
                <w:rFonts w:hint="eastAsia" w:ascii="宋体" w:hAnsi="宋体" w:eastAsia="宋体" w:cs="宋体"/>
                <w:spacing w:val="-2"/>
                <w:position w:val="1"/>
                <w:sz w:val="18"/>
                <w:szCs w:val="18"/>
              </w:rPr>
              <w:t>合  格□</w:t>
            </w:r>
            <w:r>
              <w:rPr>
                <w:rFonts w:hint="eastAsia" w:ascii="宋体" w:hAnsi="宋体" w:eastAsia="宋体" w:cs="宋体"/>
                <w:position w:val="1"/>
                <w:sz w:val="18"/>
                <w:szCs w:val="18"/>
              </w:rPr>
              <w:t xml:space="preserve">                              </w:t>
            </w:r>
            <w:r>
              <w:rPr>
                <w:rFonts w:hint="eastAsia" w:ascii="宋体" w:hAnsi="宋体" w:eastAsia="宋体" w:cs="宋体"/>
                <w:spacing w:val="-2"/>
                <w:position w:val="1"/>
                <w:sz w:val="18"/>
                <w:szCs w:val="18"/>
              </w:rPr>
              <w:t>不合格□</w:t>
            </w:r>
          </w:p>
        </w:tc>
      </w:tr>
    </w:tbl>
    <w:p w14:paraId="5372B883">
      <w:pPr>
        <w:spacing w:line="39" w:lineRule="exact"/>
        <w:rPr>
          <w:rFonts w:hint="eastAsia" w:ascii="宋体" w:hAnsi="宋体" w:eastAsia="宋体" w:cs="宋体"/>
          <w:sz w:val="3"/>
        </w:rPr>
      </w:pPr>
    </w:p>
    <w:p w14:paraId="0BC83D9D">
      <w:pPr>
        <w:spacing w:line="39" w:lineRule="exact"/>
        <w:rPr>
          <w:rFonts w:hint="eastAsia" w:ascii="宋体" w:hAnsi="宋体" w:eastAsia="宋体" w:cs="宋体"/>
          <w:sz w:val="3"/>
          <w:szCs w:val="3"/>
        </w:rPr>
        <w:sectPr>
          <w:footerReference r:id="rId5" w:type="default"/>
          <w:pgSz w:w="16838" w:h="11906"/>
          <w:pgMar w:top="1011" w:right="1329" w:bottom="1424" w:left="1328" w:header="0" w:footer="1122" w:gutter="0"/>
          <w:pgBorders>
            <w:top w:val="none" w:sz="0" w:space="0"/>
            <w:left w:val="none" w:sz="0" w:space="0"/>
            <w:bottom w:val="none" w:sz="0" w:space="0"/>
            <w:right w:val="none" w:sz="0" w:space="0"/>
          </w:pgBorders>
          <w:cols w:space="720" w:num="1"/>
        </w:sectPr>
      </w:pPr>
    </w:p>
    <w:p w14:paraId="41DE18CA">
      <w:pPr>
        <w:spacing w:before="164"/>
        <w:rPr>
          <w:rFonts w:hint="eastAsia" w:ascii="宋体" w:hAnsi="宋体" w:eastAsia="宋体" w:cs="宋体"/>
        </w:rPr>
      </w:pPr>
    </w:p>
    <w:tbl>
      <w:tblPr>
        <w:tblStyle w:val="36"/>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3"/>
        <w:gridCol w:w="5244"/>
        <w:gridCol w:w="7117"/>
      </w:tblGrid>
      <w:tr w14:paraId="2A746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813" w:type="dxa"/>
            <w:vAlign w:val="top"/>
          </w:tcPr>
          <w:p w14:paraId="426E5E47">
            <w:pPr>
              <w:spacing w:before="298" w:line="208" w:lineRule="auto"/>
              <w:ind w:left="189"/>
              <w:rPr>
                <w:rFonts w:hint="eastAsia" w:ascii="宋体" w:hAnsi="宋体" w:eastAsia="宋体" w:cs="宋体"/>
                <w:sz w:val="18"/>
                <w:szCs w:val="18"/>
              </w:rPr>
            </w:pPr>
            <w:r>
              <w:rPr>
                <w:rFonts w:hint="eastAsia" w:ascii="宋体" w:hAnsi="宋体" w:eastAsia="宋体" w:cs="宋体"/>
                <w:spacing w:val="-1"/>
                <w:sz w:val="18"/>
                <w:szCs w:val="18"/>
              </w:rPr>
              <w:t>验收小组成员签字</w:t>
            </w:r>
          </w:p>
        </w:tc>
        <w:tc>
          <w:tcPr>
            <w:tcW w:w="12361" w:type="dxa"/>
            <w:gridSpan w:val="2"/>
            <w:vAlign w:val="top"/>
          </w:tcPr>
          <w:p w14:paraId="6A91EBA5">
            <w:pPr>
              <w:pStyle w:val="37"/>
              <w:rPr>
                <w:rFonts w:hint="eastAsia" w:ascii="宋体" w:hAnsi="宋体" w:eastAsia="宋体" w:cs="宋体"/>
              </w:rPr>
            </w:pPr>
          </w:p>
        </w:tc>
      </w:tr>
      <w:tr w14:paraId="601F1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7" w:type="dxa"/>
            <w:gridSpan w:val="2"/>
            <w:vAlign w:val="top"/>
          </w:tcPr>
          <w:p w14:paraId="6920D93B">
            <w:pPr>
              <w:spacing w:before="295" w:line="208" w:lineRule="auto"/>
              <w:ind w:left="2812"/>
              <w:rPr>
                <w:rFonts w:hint="eastAsia" w:ascii="宋体" w:hAnsi="宋体" w:eastAsia="宋体" w:cs="宋体"/>
                <w:sz w:val="18"/>
                <w:szCs w:val="18"/>
              </w:rPr>
            </w:pPr>
            <w:r>
              <w:rPr>
                <w:rFonts w:hint="eastAsia" w:ascii="宋体" w:hAnsi="宋体" w:eastAsia="宋体" w:cs="宋体"/>
                <w:spacing w:val="-1"/>
                <w:sz w:val="18"/>
                <w:szCs w:val="18"/>
              </w:rPr>
              <w:t>采购代理机构意见</w:t>
            </w:r>
          </w:p>
        </w:tc>
        <w:tc>
          <w:tcPr>
            <w:tcW w:w="7117" w:type="dxa"/>
            <w:vAlign w:val="top"/>
          </w:tcPr>
          <w:p w14:paraId="1A25A3F1">
            <w:pPr>
              <w:spacing w:before="296" w:line="207" w:lineRule="auto"/>
              <w:ind w:left="3111"/>
              <w:rPr>
                <w:rFonts w:hint="eastAsia" w:ascii="宋体" w:hAnsi="宋体" w:eastAsia="宋体" w:cs="宋体"/>
                <w:sz w:val="18"/>
                <w:szCs w:val="18"/>
              </w:rPr>
            </w:pPr>
            <w:r>
              <w:rPr>
                <w:rFonts w:hint="eastAsia" w:ascii="宋体" w:hAnsi="宋体" w:eastAsia="宋体" w:cs="宋体"/>
                <w:spacing w:val="-2"/>
                <w:sz w:val="18"/>
                <w:szCs w:val="18"/>
              </w:rPr>
              <w:t>采购人意见</w:t>
            </w:r>
          </w:p>
        </w:tc>
      </w:tr>
      <w:tr w14:paraId="4DB91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7057" w:type="dxa"/>
            <w:gridSpan w:val="2"/>
            <w:vAlign w:val="top"/>
          </w:tcPr>
          <w:p w14:paraId="020280B1">
            <w:pPr>
              <w:pStyle w:val="37"/>
              <w:spacing w:line="242" w:lineRule="auto"/>
              <w:rPr>
                <w:rFonts w:hint="eastAsia" w:ascii="宋体" w:hAnsi="宋体" w:eastAsia="宋体" w:cs="宋体"/>
              </w:rPr>
            </w:pPr>
          </w:p>
          <w:p w14:paraId="481E46DB">
            <w:pPr>
              <w:pStyle w:val="37"/>
              <w:spacing w:line="243" w:lineRule="auto"/>
              <w:rPr>
                <w:rFonts w:hint="eastAsia" w:ascii="宋体" w:hAnsi="宋体" w:eastAsia="宋体" w:cs="宋体"/>
              </w:rPr>
            </w:pPr>
          </w:p>
          <w:p w14:paraId="325A1E10">
            <w:pPr>
              <w:spacing w:before="58" w:line="239" w:lineRule="exact"/>
              <w:ind w:left="114"/>
              <w:rPr>
                <w:rFonts w:hint="eastAsia" w:ascii="宋体" w:hAnsi="宋体" w:eastAsia="宋体" w:cs="宋体"/>
                <w:sz w:val="18"/>
                <w:szCs w:val="18"/>
              </w:rPr>
            </w:pPr>
            <w:r>
              <w:rPr>
                <w:rFonts w:hint="eastAsia" w:ascii="宋体" w:hAnsi="宋体" w:eastAsia="宋体" w:cs="宋体"/>
                <w:spacing w:val="1"/>
                <w:position w:val="1"/>
                <w:sz w:val="18"/>
                <w:szCs w:val="18"/>
              </w:rPr>
              <w:t>经办人：         负责人</w:t>
            </w:r>
            <w:r>
              <w:rPr>
                <w:rFonts w:hint="eastAsia" w:ascii="宋体" w:hAnsi="宋体" w:eastAsia="宋体" w:cs="宋体"/>
                <w:spacing w:val="-18"/>
                <w:position w:val="1"/>
                <w:sz w:val="18"/>
                <w:szCs w:val="18"/>
              </w:rPr>
              <w:t>：</w:t>
            </w:r>
            <w:r>
              <w:rPr>
                <w:rFonts w:hint="eastAsia" w:ascii="宋体" w:hAnsi="宋体" w:eastAsia="宋体" w:cs="宋体"/>
                <w:spacing w:val="10"/>
                <w:position w:val="1"/>
                <w:sz w:val="18"/>
                <w:szCs w:val="18"/>
              </w:rPr>
              <w:t xml:space="preserve">         </w:t>
            </w:r>
            <w:r>
              <w:rPr>
                <w:rFonts w:hint="eastAsia" w:ascii="宋体" w:hAnsi="宋体" w:eastAsia="宋体" w:cs="宋体"/>
                <w:spacing w:val="-18"/>
                <w:position w:val="1"/>
                <w:sz w:val="18"/>
                <w:szCs w:val="18"/>
              </w:rPr>
              <w:t>（</w:t>
            </w:r>
            <w:r>
              <w:rPr>
                <w:rFonts w:hint="eastAsia" w:ascii="宋体" w:hAnsi="宋体" w:eastAsia="宋体" w:cs="宋体"/>
                <w:spacing w:val="1"/>
                <w:position w:val="1"/>
                <w:sz w:val="18"/>
                <w:szCs w:val="18"/>
              </w:rPr>
              <w:t>采购代理机构公章）</w:t>
            </w:r>
          </w:p>
        </w:tc>
        <w:tc>
          <w:tcPr>
            <w:tcW w:w="7117" w:type="dxa"/>
            <w:vAlign w:val="top"/>
          </w:tcPr>
          <w:p w14:paraId="61804A5F">
            <w:pPr>
              <w:pStyle w:val="37"/>
              <w:spacing w:line="254" w:lineRule="auto"/>
              <w:rPr>
                <w:rFonts w:hint="eastAsia" w:ascii="宋体" w:hAnsi="宋体" w:eastAsia="宋体" w:cs="宋体"/>
              </w:rPr>
            </w:pPr>
          </w:p>
          <w:p w14:paraId="0A175A89">
            <w:pPr>
              <w:pStyle w:val="37"/>
              <w:spacing w:line="255" w:lineRule="auto"/>
              <w:rPr>
                <w:rFonts w:hint="eastAsia" w:ascii="宋体" w:hAnsi="宋体" w:eastAsia="宋体" w:cs="宋体"/>
              </w:rPr>
            </w:pPr>
          </w:p>
          <w:p w14:paraId="750A2B91">
            <w:pPr>
              <w:pStyle w:val="37"/>
              <w:spacing w:line="255" w:lineRule="auto"/>
              <w:rPr>
                <w:rFonts w:hint="eastAsia" w:ascii="宋体" w:hAnsi="宋体" w:eastAsia="宋体" w:cs="宋体"/>
              </w:rPr>
            </w:pPr>
          </w:p>
          <w:p w14:paraId="28CED67C">
            <w:pPr>
              <w:spacing w:before="58" w:line="239" w:lineRule="exact"/>
              <w:ind w:left="113"/>
              <w:rPr>
                <w:rFonts w:hint="eastAsia" w:ascii="宋体" w:hAnsi="宋体" w:eastAsia="宋体" w:cs="宋体"/>
                <w:sz w:val="18"/>
                <w:szCs w:val="18"/>
              </w:rPr>
            </w:pPr>
            <w:r>
              <w:rPr>
                <w:rFonts w:hint="eastAsia" w:ascii="宋体" w:hAnsi="宋体" w:eastAsia="宋体" w:cs="宋体"/>
                <w:spacing w:val="2"/>
                <w:position w:val="1"/>
                <w:sz w:val="18"/>
                <w:szCs w:val="18"/>
              </w:rPr>
              <w:t>经办人：       负责人</w:t>
            </w:r>
            <w:r>
              <w:rPr>
                <w:rFonts w:hint="eastAsia" w:ascii="宋体" w:hAnsi="宋体" w:eastAsia="宋体" w:cs="宋体"/>
                <w:spacing w:val="-25"/>
                <w:position w:val="1"/>
                <w:sz w:val="18"/>
                <w:szCs w:val="18"/>
              </w:rPr>
              <w:t>：</w:t>
            </w:r>
            <w:r>
              <w:rPr>
                <w:rFonts w:hint="eastAsia" w:ascii="宋体" w:hAnsi="宋体" w:eastAsia="宋体" w:cs="宋体"/>
                <w:spacing w:val="6"/>
                <w:position w:val="1"/>
                <w:sz w:val="18"/>
                <w:szCs w:val="18"/>
              </w:rPr>
              <w:t xml:space="preserve">              </w:t>
            </w:r>
            <w:r>
              <w:rPr>
                <w:rFonts w:hint="eastAsia" w:ascii="宋体" w:hAnsi="宋体" w:eastAsia="宋体" w:cs="宋体"/>
                <w:spacing w:val="-25"/>
                <w:position w:val="1"/>
                <w:sz w:val="18"/>
                <w:szCs w:val="18"/>
              </w:rPr>
              <w:t>（</w:t>
            </w:r>
            <w:r>
              <w:rPr>
                <w:rFonts w:hint="eastAsia" w:ascii="宋体" w:hAnsi="宋体" w:eastAsia="宋体" w:cs="宋体"/>
                <w:spacing w:val="2"/>
                <w:position w:val="1"/>
                <w:sz w:val="18"/>
                <w:szCs w:val="18"/>
              </w:rPr>
              <w:t>采购人公章）</w:t>
            </w:r>
          </w:p>
        </w:tc>
      </w:tr>
      <w:tr w14:paraId="5D334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14174" w:type="dxa"/>
            <w:gridSpan w:val="3"/>
            <w:vAlign w:val="top"/>
          </w:tcPr>
          <w:p w14:paraId="6C6685D3">
            <w:pPr>
              <w:spacing w:before="298" w:line="207" w:lineRule="auto"/>
              <w:ind w:left="113"/>
              <w:rPr>
                <w:rFonts w:hint="eastAsia" w:ascii="宋体" w:hAnsi="宋体" w:eastAsia="宋体" w:cs="宋体"/>
                <w:sz w:val="18"/>
                <w:szCs w:val="18"/>
              </w:rPr>
            </w:pPr>
            <w:r>
              <w:rPr>
                <w:rFonts w:hint="eastAsia" w:ascii="宋体" w:hAnsi="宋体" w:eastAsia="宋体" w:cs="宋体"/>
                <w:spacing w:val="-2"/>
                <w:sz w:val="18"/>
                <w:szCs w:val="18"/>
              </w:rPr>
              <w:t>供应商确认：</w:t>
            </w:r>
          </w:p>
          <w:p w14:paraId="3291BAAB">
            <w:pPr>
              <w:pStyle w:val="37"/>
              <w:spacing w:line="275" w:lineRule="auto"/>
              <w:rPr>
                <w:rFonts w:hint="eastAsia" w:ascii="宋体" w:hAnsi="宋体" w:eastAsia="宋体" w:cs="宋体"/>
              </w:rPr>
            </w:pPr>
          </w:p>
          <w:p w14:paraId="610A4E7B">
            <w:pPr>
              <w:pStyle w:val="37"/>
              <w:spacing w:line="275" w:lineRule="auto"/>
              <w:rPr>
                <w:rFonts w:hint="eastAsia" w:ascii="宋体" w:hAnsi="宋体" w:eastAsia="宋体" w:cs="宋体"/>
              </w:rPr>
            </w:pPr>
          </w:p>
          <w:p w14:paraId="03BD4DE8">
            <w:pPr>
              <w:pStyle w:val="37"/>
              <w:spacing w:line="275" w:lineRule="auto"/>
              <w:rPr>
                <w:rFonts w:hint="eastAsia" w:ascii="宋体" w:hAnsi="宋体" w:eastAsia="宋体" w:cs="宋体"/>
              </w:rPr>
            </w:pPr>
          </w:p>
          <w:p w14:paraId="56AB25FA">
            <w:pPr>
              <w:spacing w:before="58" w:line="239" w:lineRule="exact"/>
              <w:ind w:left="118"/>
              <w:rPr>
                <w:rFonts w:hint="eastAsia" w:ascii="宋体" w:hAnsi="宋体" w:eastAsia="宋体" w:cs="宋体"/>
                <w:sz w:val="18"/>
                <w:szCs w:val="18"/>
              </w:rPr>
            </w:pPr>
            <w:r>
              <w:rPr>
                <w:rFonts w:hint="eastAsia" w:ascii="宋体" w:hAnsi="宋体" w:eastAsia="宋体" w:cs="宋体"/>
                <w:spacing w:val="-1"/>
                <w:position w:val="1"/>
                <w:sz w:val="18"/>
                <w:szCs w:val="18"/>
              </w:rPr>
              <w:t>（单位公章或授权代表签字）</w:t>
            </w:r>
          </w:p>
        </w:tc>
      </w:tr>
    </w:tbl>
    <w:p w14:paraId="59B7882E">
      <w:pPr>
        <w:spacing w:before="267" w:line="239" w:lineRule="exact"/>
        <w:ind w:left="98"/>
        <w:rPr>
          <w:rFonts w:hint="eastAsia" w:ascii="宋体" w:hAnsi="宋体" w:eastAsia="宋体" w:cs="宋体"/>
          <w:sz w:val="20"/>
          <w:szCs w:val="20"/>
        </w:rPr>
      </w:pPr>
      <w:r>
        <w:rPr>
          <w:rFonts w:hint="eastAsia" w:ascii="宋体" w:hAnsi="宋体" w:eastAsia="宋体" w:cs="宋体"/>
          <w:position w:val="1"/>
          <w:sz w:val="20"/>
          <w:szCs w:val="20"/>
        </w:rPr>
        <w:t>说明：1.该表为工程类项目履约验收的参考样表，采购人或采购代理机构可以</w:t>
      </w:r>
      <w:r>
        <w:rPr>
          <w:rFonts w:hint="eastAsia" w:ascii="宋体" w:hAnsi="宋体" w:eastAsia="宋体" w:cs="宋体"/>
          <w:spacing w:val="-1"/>
          <w:position w:val="1"/>
          <w:sz w:val="20"/>
          <w:szCs w:val="20"/>
        </w:rPr>
        <w:t>根据工作实际进行调整。</w:t>
      </w:r>
    </w:p>
    <w:p w14:paraId="45BE5489">
      <w:pPr>
        <w:spacing w:line="262" w:lineRule="auto"/>
        <w:rPr>
          <w:rFonts w:hint="eastAsia" w:ascii="宋体" w:hAnsi="宋体" w:eastAsia="宋体" w:cs="宋体"/>
          <w:sz w:val="22"/>
          <w:szCs w:val="28"/>
        </w:rPr>
      </w:pPr>
    </w:p>
    <w:p w14:paraId="54BC1771">
      <w:pPr>
        <w:spacing w:before="59" w:line="238" w:lineRule="exact"/>
        <w:ind w:left="638"/>
        <w:outlineLvl w:val="1"/>
        <w:rPr>
          <w:rFonts w:hint="eastAsia" w:ascii="宋体" w:hAnsi="宋体" w:eastAsia="宋体" w:cs="宋体"/>
          <w:sz w:val="20"/>
          <w:szCs w:val="20"/>
        </w:rPr>
      </w:pPr>
      <w:r>
        <w:rPr>
          <w:rFonts w:hint="eastAsia" w:ascii="宋体" w:hAnsi="宋体" w:eastAsia="宋体" w:cs="宋体"/>
          <w:position w:val="1"/>
          <w:sz w:val="20"/>
          <w:szCs w:val="20"/>
        </w:rPr>
        <w:t>2.未委托采购代理机构开展履约验收工作的，无需填写“</w:t>
      </w:r>
      <w:r>
        <w:rPr>
          <w:rFonts w:hint="eastAsia" w:ascii="宋体" w:hAnsi="宋体" w:eastAsia="宋体" w:cs="宋体"/>
          <w:spacing w:val="-1"/>
          <w:position w:val="1"/>
          <w:sz w:val="20"/>
          <w:szCs w:val="20"/>
        </w:rPr>
        <w:t>采购代理机构意见</w:t>
      </w:r>
      <w:r>
        <w:rPr>
          <w:rFonts w:hint="eastAsia" w:ascii="宋体" w:hAnsi="宋体" w:eastAsia="宋体" w:cs="宋体"/>
          <w:spacing w:val="-66"/>
          <w:position w:val="1"/>
          <w:sz w:val="20"/>
          <w:szCs w:val="20"/>
        </w:rPr>
        <w:t xml:space="preserve"> </w:t>
      </w:r>
      <w:r>
        <w:rPr>
          <w:rFonts w:hint="eastAsia" w:ascii="宋体" w:hAnsi="宋体" w:eastAsia="宋体" w:cs="宋体"/>
          <w:spacing w:val="-1"/>
          <w:position w:val="1"/>
          <w:sz w:val="20"/>
          <w:szCs w:val="20"/>
        </w:rPr>
        <w:t>”。</w:t>
      </w:r>
    </w:p>
    <w:p w14:paraId="3CCFFD5E">
      <w:pPr>
        <w:pageBreakBefore w:val="0"/>
        <w:spacing w:line="380" w:lineRule="exact"/>
        <w:jc w:val="both"/>
        <w:rPr>
          <w:rFonts w:hint="eastAsia" w:ascii="宋体" w:hAnsi="宋体" w:eastAsia="宋体" w:cs="宋体"/>
          <w:b/>
          <w:color w:val="auto"/>
          <w:sz w:val="44"/>
          <w:szCs w:val="44"/>
          <w:highlight w:val="none"/>
          <w:lang w:val="en-US" w:eastAsia="zh-CN"/>
        </w:rPr>
        <w:sectPr>
          <w:pgSz w:w="16838" w:h="11906" w:orient="landscape"/>
          <w:pgMar w:top="1474" w:right="1440" w:bottom="1474" w:left="1440" w:header="851" w:footer="992" w:gutter="0"/>
          <w:pgBorders>
            <w:top w:val="none" w:sz="0" w:space="0"/>
            <w:left w:val="none" w:sz="0" w:space="0"/>
            <w:bottom w:val="none" w:sz="0" w:space="0"/>
            <w:right w:val="none" w:sz="0" w:space="0"/>
          </w:pgBorders>
          <w:cols w:space="720" w:num="1"/>
          <w:docGrid w:linePitch="360" w:charSpace="0"/>
        </w:sectPr>
      </w:pPr>
    </w:p>
    <w:p w14:paraId="6E4DD336">
      <w:pPr>
        <w:pageBreakBefore w:val="0"/>
        <w:spacing w:line="380" w:lineRule="exact"/>
        <w:jc w:val="both"/>
        <w:rPr>
          <w:rFonts w:hint="eastAsia" w:ascii="宋体" w:hAnsi="宋体" w:eastAsia="宋体" w:cs="宋体"/>
          <w:b/>
          <w:color w:val="auto"/>
          <w:sz w:val="40"/>
          <w:szCs w:val="40"/>
          <w:highlight w:val="none"/>
          <w:lang w:val="en-US" w:eastAsia="zh-CN"/>
        </w:rPr>
      </w:pPr>
    </w:p>
    <w:p w14:paraId="09F410CE">
      <w:pPr>
        <w:pageBreakBefore w:val="0"/>
        <w:spacing w:line="380" w:lineRule="exact"/>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第 六 章</w:t>
      </w:r>
    </w:p>
    <w:p w14:paraId="7FC73093">
      <w:pPr>
        <w:pStyle w:val="12"/>
        <w:pageBreakBefore w:val="0"/>
        <w:numPr>
          <w:ilvl w:val="0"/>
          <w:numId w:val="0"/>
        </w:numPr>
        <w:spacing w:line="380" w:lineRule="exact"/>
        <w:jc w:val="both"/>
        <w:rPr>
          <w:rFonts w:hint="eastAsia" w:ascii="宋体" w:hAnsi="宋体" w:eastAsia="宋体" w:cs="宋体"/>
          <w:b/>
          <w:color w:val="auto"/>
          <w:sz w:val="32"/>
          <w:szCs w:val="32"/>
          <w:highlight w:val="none"/>
        </w:rPr>
      </w:pPr>
    </w:p>
    <w:p w14:paraId="1BD5BCCC">
      <w:pPr>
        <w:pStyle w:val="12"/>
        <w:pageBreakBefore w:val="0"/>
        <w:numPr>
          <w:ilvl w:val="0"/>
          <w:numId w:val="0"/>
        </w:numPr>
        <w:spacing w:line="380" w:lineRule="exact"/>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p w14:paraId="268115DF">
      <w:pPr>
        <w:pStyle w:val="12"/>
        <w:pageBreakBefore w:val="0"/>
        <w:numPr>
          <w:ilvl w:val="0"/>
          <w:numId w:val="0"/>
        </w:numPr>
        <w:spacing w:line="380" w:lineRule="exact"/>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响  应  文  件</w:t>
      </w:r>
    </w:p>
    <w:p w14:paraId="69661AB2">
      <w:pPr>
        <w:pStyle w:val="12"/>
        <w:pageBreakBefore w:val="0"/>
        <w:spacing w:line="380" w:lineRule="exact"/>
        <w:rPr>
          <w:rFonts w:hint="eastAsia" w:ascii="宋体" w:hAnsi="宋体" w:eastAsia="宋体" w:cs="宋体"/>
          <w:color w:val="auto"/>
          <w:sz w:val="32"/>
          <w:highlight w:val="none"/>
        </w:rPr>
      </w:pPr>
    </w:p>
    <w:p w14:paraId="66A2EB54">
      <w:pPr>
        <w:pStyle w:val="12"/>
        <w:pageBreakBefore w:val="0"/>
        <w:spacing w:line="380" w:lineRule="exact"/>
        <w:rPr>
          <w:rFonts w:hint="eastAsia" w:ascii="宋体" w:hAnsi="宋体" w:eastAsia="宋体" w:cs="宋体"/>
          <w:color w:val="auto"/>
          <w:sz w:val="32"/>
          <w:highlight w:val="none"/>
        </w:rPr>
      </w:pPr>
    </w:p>
    <w:p w14:paraId="76E2E2D5">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1AE55169">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23EFC46E">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5EC613F7">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6DCCCC33">
      <w:pPr>
        <w:pageBreakBefore w:val="0"/>
        <w:spacing w:line="380" w:lineRule="exact"/>
        <w:ind w:firstLine="1285" w:firstLineChars="4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 目 名 称：               </w:t>
      </w:r>
    </w:p>
    <w:p w14:paraId="2C290626">
      <w:pPr>
        <w:pageBreakBefore w:val="0"/>
        <w:spacing w:line="380" w:lineRule="exact"/>
        <w:jc w:val="center"/>
        <w:rPr>
          <w:rFonts w:hint="eastAsia" w:ascii="宋体" w:hAnsi="宋体" w:eastAsia="宋体" w:cs="宋体"/>
          <w:b/>
          <w:bCs/>
          <w:color w:val="auto"/>
          <w:sz w:val="32"/>
          <w:szCs w:val="32"/>
          <w:highlight w:val="none"/>
          <w:lang w:val="en-US" w:eastAsia="zh-CN"/>
        </w:rPr>
      </w:pPr>
    </w:p>
    <w:p w14:paraId="56186B12">
      <w:pPr>
        <w:pageBreakBefore w:val="0"/>
        <w:spacing w:line="380" w:lineRule="exact"/>
        <w:ind w:firstLine="1285" w:firstLineChars="400"/>
        <w:jc w:val="both"/>
        <w:rPr>
          <w:rFonts w:hint="eastAsia" w:ascii="宋体" w:hAnsi="宋体" w:eastAsia="宋体" w:cs="宋体"/>
          <w:b/>
          <w:bCs/>
          <w:color w:val="auto"/>
          <w:sz w:val="32"/>
          <w:szCs w:val="32"/>
          <w:highlight w:val="none"/>
          <w:lang w:val="en-US" w:eastAsia="zh-CN"/>
        </w:rPr>
      </w:pPr>
    </w:p>
    <w:p w14:paraId="01998944">
      <w:pPr>
        <w:pageBreakBefore w:val="0"/>
        <w:spacing w:line="380" w:lineRule="exact"/>
        <w:ind w:firstLine="1285" w:firstLineChars="4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项 目</w:t>
      </w:r>
      <w:r>
        <w:rPr>
          <w:rFonts w:hint="eastAsia" w:ascii="宋体" w:hAnsi="宋体" w:eastAsia="宋体" w:cs="宋体"/>
          <w:b/>
          <w:bCs/>
          <w:color w:val="auto"/>
          <w:sz w:val="32"/>
          <w:szCs w:val="32"/>
          <w:highlight w:val="none"/>
        </w:rPr>
        <w:t xml:space="preserve"> 编 号：               </w:t>
      </w:r>
    </w:p>
    <w:p w14:paraId="62EC5E6C">
      <w:pPr>
        <w:pageBreakBefore w:val="0"/>
        <w:spacing w:line="380" w:lineRule="exact"/>
        <w:ind w:firstLine="1285" w:firstLineChars="400"/>
        <w:jc w:val="both"/>
        <w:rPr>
          <w:rFonts w:hint="eastAsia" w:ascii="宋体" w:hAnsi="宋体" w:eastAsia="宋体" w:cs="宋体"/>
          <w:b/>
          <w:bCs/>
          <w:color w:val="auto"/>
          <w:sz w:val="32"/>
          <w:szCs w:val="32"/>
          <w:highlight w:val="none"/>
        </w:rPr>
      </w:pPr>
    </w:p>
    <w:p w14:paraId="4B9FFBD4">
      <w:pPr>
        <w:pageBreakBefore w:val="0"/>
        <w:spacing w:line="380" w:lineRule="exact"/>
        <w:ind w:firstLine="1285" w:firstLineChars="400"/>
        <w:jc w:val="both"/>
        <w:rPr>
          <w:rFonts w:hint="eastAsia" w:ascii="宋体" w:hAnsi="宋体" w:eastAsia="宋体" w:cs="宋体"/>
          <w:b/>
          <w:bCs/>
          <w:color w:val="auto"/>
          <w:sz w:val="32"/>
          <w:szCs w:val="32"/>
          <w:highlight w:val="none"/>
        </w:rPr>
      </w:pPr>
    </w:p>
    <w:p w14:paraId="4135F173">
      <w:pPr>
        <w:pageBreakBefore w:val="0"/>
        <w:spacing w:line="380" w:lineRule="exact"/>
        <w:ind w:firstLine="1285" w:firstLineChars="4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供应商名称：（加盖公章）</w:t>
      </w:r>
    </w:p>
    <w:p w14:paraId="7F124809">
      <w:pPr>
        <w:pageBreakBefore w:val="0"/>
        <w:spacing w:line="38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78A97633">
      <w:pPr>
        <w:pageBreakBefore w:val="0"/>
        <w:spacing w:line="380" w:lineRule="exact"/>
        <w:ind w:firstLine="1285" w:firstLineChars="400"/>
        <w:jc w:val="both"/>
        <w:rPr>
          <w:rFonts w:hint="eastAsia" w:ascii="宋体" w:hAnsi="宋体" w:eastAsia="宋体" w:cs="宋体"/>
          <w:b/>
          <w:bCs/>
          <w:color w:val="auto"/>
          <w:sz w:val="32"/>
          <w:szCs w:val="32"/>
          <w:highlight w:val="none"/>
        </w:rPr>
      </w:pPr>
    </w:p>
    <w:p w14:paraId="42D79E05">
      <w:pPr>
        <w:pageBreakBefore w:val="0"/>
        <w:spacing w:line="380" w:lineRule="exact"/>
        <w:ind w:firstLine="1285" w:firstLineChars="40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2"/>
          <w:szCs w:val="32"/>
          <w:highlight w:val="none"/>
        </w:rPr>
        <w:t>日    期 ：         </w:t>
      </w:r>
      <w:r>
        <w:rPr>
          <w:rFonts w:hint="eastAsia" w:ascii="宋体" w:hAnsi="宋体" w:eastAsia="宋体" w:cs="宋体"/>
          <w:b/>
          <w:bCs/>
          <w:color w:val="auto"/>
          <w:sz w:val="30"/>
          <w:szCs w:val="30"/>
          <w:highlight w:val="none"/>
        </w:rPr>
        <w:t>      </w:t>
      </w:r>
    </w:p>
    <w:p w14:paraId="2E6F3159">
      <w:pPr>
        <w:pageBreakBefore w:val="0"/>
        <w:spacing w:line="380" w:lineRule="exact"/>
        <w:jc w:val="center"/>
        <w:rPr>
          <w:rFonts w:hint="eastAsia" w:ascii="宋体" w:hAnsi="宋体" w:eastAsia="宋体" w:cs="宋体"/>
          <w:color w:val="auto"/>
          <w:sz w:val="30"/>
          <w:szCs w:val="30"/>
          <w:highlight w:val="none"/>
        </w:rPr>
      </w:pPr>
    </w:p>
    <w:p w14:paraId="45622AC4">
      <w:pPr>
        <w:pStyle w:val="13"/>
        <w:pageBreakBefore w:val="0"/>
        <w:tabs>
          <w:tab w:val="left" w:pos="420"/>
        </w:tabs>
        <w:spacing w:line="380" w:lineRule="exact"/>
        <w:ind w:right="-2" w:firstLine="0"/>
        <w:rPr>
          <w:rFonts w:hint="eastAsia" w:ascii="宋体" w:hAnsi="宋体" w:eastAsia="宋体" w:cs="宋体"/>
          <w:b/>
          <w:bCs/>
          <w:color w:val="auto"/>
          <w:sz w:val="30"/>
          <w:szCs w:val="30"/>
          <w:highlight w:val="none"/>
        </w:rPr>
      </w:pPr>
    </w:p>
    <w:p w14:paraId="615EFF19">
      <w:pPr>
        <w:pStyle w:val="13"/>
        <w:pageBreakBefore w:val="0"/>
        <w:tabs>
          <w:tab w:val="left" w:pos="420"/>
        </w:tabs>
        <w:spacing w:line="380" w:lineRule="exact"/>
        <w:ind w:right="-2" w:firstLine="0"/>
        <w:jc w:val="center"/>
        <w:rPr>
          <w:rFonts w:hint="eastAsia" w:ascii="宋体" w:hAnsi="宋体" w:eastAsia="宋体" w:cs="宋体"/>
          <w:b/>
          <w:bCs/>
          <w:color w:val="auto"/>
          <w:szCs w:val="28"/>
          <w:highlight w:val="none"/>
        </w:rPr>
      </w:pPr>
    </w:p>
    <w:p w14:paraId="0CE010EF">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p>
    <w:p w14:paraId="09BB23A7">
      <w:pPr>
        <w:pageBreakBefore w:val="0"/>
        <w:spacing w:line="380" w:lineRule="exact"/>
        <w:ind w:firstLine="3769" w:firstLineChars="1043"/>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一、磋商函</w:t>
      </w:r>
    </w:p>
    <w:p w14:paraId="4EC67E3A">
      <w:pPr>
        <w:pStyle w:val="38"/>
        <w:keepNext w:val="0"/>
        <w:keepLines w:val="0"/>
        <w:pageBreakBefore w:val="0"/>
        <w:widowControl w:val="0"/>
        <w:spacing w:before="0" w:after="0" w:line="380" w:lineRule="exact"/>
        <w:ind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p>
    <w:p w14:paraId="0D6E54CF">
      <w:pPr>
        <w:pStyle w:val="38"/>
        <w:keepNext w:val="0"/>
        <w:keepLines w:val="0"/>
        <w:pageBreakBefore w:val="0"/>
        <w:widowControl w:val="0"/>
        <w:spacing w:before="0" w:after="0" w:line="380" w:lineRule="exact"/>
        <w:ind w:firstLine="7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采购项目（项目编号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名称），全权处理本次项目投标的有关事宜。</w:t>
      </w:r>
    </w:p>
    <w:p w14:paraId="536FCF60">
      <w:pPr>
        <w:pStyle w:val="38"/>
        <w:keepNext w:val="0"/>
        <w:keepLines w:val="0"/>
        <w:pageBreakBefore w:val="0"/>
        <w:widowControl w:val="0"/>
        <w:spacing w:before="0" w:after="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据此函，签字人兹宣布同意如下：</w:t>
      </w:r>
    </w:p>
    <w:p w14:paraId="6F748F3F">
      <w:pPr>
        <w:keepNext w:val="0"/>
        <w:keepLines w:val="0"/>
        <w:pageBreakBefore w:val="0"/>
        <w:widowControl w:val="0"/>
        <w:spacing w:line="380" w:lineRule="exact"/>
        <w:ind w:firstLine="56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1、我单位经现场勘察和研究按上述磋商文件、合同条款、工程建设标准、图纸、工程量清单和其他文件后我方愿以磋商报价为【大写:人民币</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（RMB¥</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）】的磋商报价承包上述工程的施工、竣工和承担任何质量缺陷的保修责任。</w:t>
      </w:r>
    </w:p>
    <w:p w14:paraId="2DCA26C9">
      <w:pPr>
        <w:keepNext w:val="0"/>
        <w:keepLines w:val="0"/>
        <w:pageBreakBefore w:val="0"/>
        <w:widowControl w:val="0"/>
        <w:spacing w:line="380" w:lineRule="exact"/>
        <w:ind w:firstLine="56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2、一旦我方成交，我方保证在收到采购单位发出的书面开工令后立即开工，将派出项目负责人（</w:t>
      </w:r>
      <w:r>
        <w:rPr>
          <w:rFonts w:hint="eastAsia" w:ascii="宋体" w:hAnsi="宋体" w:eastAsia="宋体" w:cs="宋体"/>
          <w:color w:val="auto"/>
          <w:sz w:val="24"/>
          <w:szCs w:val="22"/>
          <w:highlight w:val="none"/>
          <w:u w:val="single"/>
          <w:lang w:val="en-US" w:eastAsia="zh-CN"/>
        </w:rPr>
        <w:t xml:space="preserve">姓名    </w:t>
      </w:r>
      <w:r>
        <w:rPr>
          <w:rFonts w:hint="eastAsia" w:ascii="宋体" w:hAnsi="宋体" w:eastAsia="宋体" w:cs="宋体"/>
          <w:color w:val="auto"/>
          <w:sz w:val="24"/>
          <w:szCs w:val="22"/>
          <w:highlight w:val="none"/>
          <w:lang w:val="en-US" w:eastAsia="zh-CN"/>
        </w:rPr>
        <w:t>）作为本工程的项目负责人，并保证质量达到采购文件所要求的标准，在</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天内竣工并移交整个工程。</w:t>
      </w:r>
    </w:p>
    <w:p w14:paraId="3E36904D">
      <w:pPr>
        <w:keepNext w:val="0"/>
        <w:keepLines w:val="0"/>
        <w:pageBreakBefore w:val="0"/>
        <w:widowControl w:val="0"/>
        <w:spacing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4"/>
          <w:highlight w:val="none"/>
        </w:rPr>
        <w:t>我</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没有为本项目提供整体设计、规范编制或者项目管理、监理、检测等服务。</w:t>
      </w:r>
    </w:p>
    <w:p w14:paraId="108E5257">
      <w:pPr>
        <w:keepNext w:val="0"/>
        <w:keepLines w:val="0"/>
        <w:pageBreakBefore w:val="0"/>
        <w:widowControl w:val="0"/>
        <w:spacing w:line="380" w:lineRule="exact"/>
        <w:ind w:firstLine="5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、参加本次采购活动前，我方没有被“信用中国”网站、“中国政府采购网”列入失信被执行人名单、重大税收违法案件当事人名单、政府采购严重违法失信行为记录名单。</w:t>
      </w:r>
    </w:p>
    <w:p w14:paraId="10CDD043">
      <w:pPr>
        <w:pStyle w:val="38"/>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、我们接受招标文件的所有的条款和规定。</w:t>
      </w:r>
    </w:p>
    <w:p w14:paraId="016A2D5A">
      <w:pPr>
        <w:pStyle w:val="38"/>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、我们同意按照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文件第二章</w:t>
      </w:r>
      <w:r>
        <w:rPr>
          <w:rFonts w:hint="eastAsia" w:ascii="宋体" w:hAnsi="宋体" w:eastAsia="宋体" w:cs="宋体"/>
          <w:color w:val="auto"/>
          <w:sz w:val="24"/>
          <w:szCs w:val="24"/>
          <w:highlight w:val="none"/>
          <w:lang w:val="en-US" w:eastAsia="zh-CN"/>
        </w:rPr>
        <w:t>供应商须知</w:t>
      </w: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条的规定，本投标文件的有效期为从开标</w:t>
      </w:r>
      <w:r>
        <w:rPr>
          <w:rFonts w:hint="eastAsia" w:ascii="宋体" w:hAnsi="宋体" w:eastAsia="宋体" w:cs="宋体"/>
          <w:color w:val="auto"/>
          <w:sz w:val="24"/>
          <w:szCs w:val="24"/>
          <w:highlight w:val="none"/>
          <w:lang w:eastAsia="zh-CN"/>
        </w:rPr>
        <w:t>之日起</w:t>
      </w:r>
      <w:r>
        <w:rPr>
          <w:rFonts w:hint="eastAsia" w:ascii="宋体" w:hAnsi="宋体" w:eastAsia="宋体" w:cs="宋体"/>
          <w:color w:val="auto"/>
          <w:sz w:val="24"/>
          <w:szCs w:val="24"/>
          <w:highlight w:val="none"/>
        </w:rPr>
        <w:t>计算的九十天，在此期间，本投标文件将始终对我们具有约束力，并可随时被接受。如果我们中标，本投标文件在此期间之后将继续保持有效。</w:t>
      </w:r>
    </w:p>
    <w:p w14:paraId="6F9F0C28">
      <w:pPr>
        <w:pStyle w:val="38"/>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、我们理解，你们无义务必须接受投标价最低的投标。同时也理解你们不承担我们本次投标的费用。</w:t>
      </w:r>
    </w:p>
    <w:p w14:paraId="61E45F6B">
      <w:pPr>
        <w:pStyle w:val="38"/>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8</w:t>
      </w:r>
      <w:r>
        <w:rPr>
          <w:rFonts w:hint="eastAsia" w:ascii="宋体" w:hAnsi="宋体" w:eastAsia="宋体" w:cs="宋体"/>
          <w:color w:val="auto"/>
          <w:sz w:val="24"/>
          <w:szCs w:val="22"/>
          <w:highlight w:val="none"/>
        </w:rPr>
        <w:t>、我们同意向贵方提供贵方可能要求的与投标有关的任何证据或资料，并保证所提供的都是真实的、准确的。</w:t>
      </w:r>
    </w:p>
    <w:p w14:paraId="48F2D3E9">
      <w:pPr>
        <w:pStyle w:val="38"/>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、一旦我方中标，我方将根据</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文件的规定，严格履行合同的责任和义务，并保证</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文件中规定的时间内供货，并完成项目的施工、调试、交付买方验收、使用。</w:t>
      </w:r>
    </w:p>
    <w:p w14:paraId="413F19FE">
      <w:pPr>
        <w:pStyle w:val="38"/>
        <w:keepNext w:val="0"/>
        <w:keepLines w:val="0"/>
        <w:pageBreakBefore w:val="0"/>
        <w:widowControl w:val="0"/>
        <w:spacing w:before="0" w:after="0" w:line="380" w:lineRule="exact"/>
        <w:ind w:left="0" w:leftChars="0" w:right="560" w:firstLine="0" w:firstLineChars="0"/>
        <w:jc w:val="left"/>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供应商名称</w:t>
      </w:r>
      <w:r>
        <w:rPr>
          <w:rFonts w:hint="eastAsia" w:ascii="宋体" w:hAnsi="宋体" w:eastAsia="宋体" w:cs="宋体"/>
          <w:color w:val="auto"/>
          <w:sz w:val="24"/>
          <w:szCs w:val="22"/>
          <w:highlight w:val="none"/>
        </w:rPr>
        <w:t>（电子签章）</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p>
    <w:p w14:paraId="2BEB2A9B">
      <w:pPr>
        <w:pStyle w:val="38"/>
        <w:keepNext w:val="0"/>
        <w:keepLines w:val="0"/>
        <w:pageBreakBefore w:val="0"/>
        <w:widowControl w:val="0"/>
        <w:spacing w:before="0" w:after="0" w:line="380" w:lineRule="exact"/>
        <w:ind w:left="0" w:leftChars="0" w:right="5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5A90E86">
      <w:pPr>
        <w:keepNext w:val="0"/>
        <w:keepLines w:val="0"/>
        <w:pageBreakBefore w:val="0"/>
        <w:widowControl w:val="0"/>
        <w:spacing w:line="380" w:lineRule="exact"/>
        <w:ind w:righ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0171081">
      <w:pPr>
        <w:pStyle w:val="12"/>
        <w:keepNext w:val="0"/>
        <w:keepLines w:val="0"/>
        <w:pageBreakBefore w:val="0"/>
        <w:widowControl w:val="0"/>
        <w:spacing w:line="380" w:lineRule="exact"/>
        <w:ind w:right="560"/>
        <w:jc w:val="left"/>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法定代表人</w:t>
      </w:r>
      <w:r>
        <w:rPr>
          <w:rFonts w:hint="eastAsia" w:ascii="宋体" w:hAnsi="宋体" w:eastAsia="宋体" w:cs="宋体"/>
          <w:color w:val="auto"/>
          <w:sz w:val="24"/>
          <w:szCs w:val="22"/>
          <w:highlight w:val="none"/>
          <w:lang w:val="en-US" w:eastAsia="zh-CN"/>
        </w:rPr>
        <w:t>或受托人</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18"/>
          <w:highlight w:val="none"/>
        </w:rPr>
        <w:t>电子签章或</w:t>
      </w:r>
      <w:r>
        <w:rPr>
          <w:rFonts w:hint="eastAsia" w:ascii="宋体" w:hAnsi="宋体" w:eastAsia="宋体" w:cs="宋体"/>
          <w:color w:val="auto"/>
          <w:sz w:val="24"/>
          <w:szCs w:val="22"/>
          <w:highlight w:val="none"/>
        </w:rPr>
        <w:t>电子签字）</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p>
    <w:p w14:paraId="74CD9AB2">
      <w:pPr>
        <w:pStyle w:val="12"/>
        <w:keepNext w:val="0"/>
        <w:keepLines w:val="0"/>
        <w:pageBreakBefore w:val="0"/>
        <w:widowControl w:val="0"/>
        <w:spacing w:line="380" w:lineRule="exact"/>
        <w:ind w:right="56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职务</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p>
    <w:p w14:paraId="7A75195E">
      <w:pPr>
        <w:pStyle w:val="12"/>
        <w:keepNext w:val="0"/>
        <w:keepLines w:val="0"/>
        <w:pageBreakBefore w:val="0"/>
        <w:widowControl w:val="0"/>
        <w:spacing w:line="380" w:lineRule="exact"/>
        <w:ind w:right="56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日期</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日</w:t>
      </w:r>
    </w:p>
    <w:p w14:paraId="5775B9A7">
      <w:pPr>
        <w:pStyle w:val="12"/>
        <w:keepNext w:val="0"/>
        <w:keepLines w:val="0"/>
        <w:pageBreakBefore w:val="0"/>
        <w:widowControl w:val="0"/>
        <w:spacing w:line="380" w:lineRule="exact"/>
        <w:ind w:right="560"/>
        <w:jc w:val="left"/>
        <w:rPr>
          <w:rFonts w:hint="eastAsia" w:ascii="宋体" w:hAnsi="宋体" w:eastAsia="宋体" w:cs="宋体"/>
          <w:color w:val="auto"/>
          <w:sz w:val="24"/>
          <w:szCs w:val="22"/>
          <w:highlight w:val="none"/>
        </w:rPr>
      </w:pPr>
    </w:p>
    <w:p w14:paraId="120A592C">
      <w:pPr>
        <w:pageBreakBefore w:val="0"/>
        <w:widowControl/>
        <w:spacing w:before="19" w:line="380" w:lineRule="exact"/>
        <w:jc w:val="center"/>
        <w:rPr>
          <w:rFonts w:hint="eastAsia" w:ascii="宋体" w:hAnsi="宋体" w:eastAsia="宋体" w:cs="宋体"/>
          <w:b/>
          <w:color w:val="auto"/>
          <w:sz w:val="32"/>
          <w:szCs w:val="32"/>
          <w:highlight w:val="none"/>
        </w:rPr>
      </w:pPr>
    </w:p>
    <w:p w14:paraId="0645F785">
      <w:pPr>
        <w:pageBreakBefore w:val="0"/>
        <w:widowControl/>
        <w:spacing w:before="19" w:line="380" w:lineRule="exact"/>
        <w:jc w:val="center"/>
        <w:rPr>
          <w:rFonts w:hint="eastAsia" w:ascii="宋体" w:hAnsi="宋体" w:eastAsia="宋体" w:cs="宋体"/>
          <w:b/>
          <w:color w:val="auto"/>
          <w:sz w:val="32"/>
          <w:szCs w:val="32"/>
          <w:highlight w:val="none"/>
        </w:rPr>
      </w:pPr>
    </w:p>
    <w:p w14:paraId="4ACC647D">
      <w:pPr>
        <w:pageBreakBefore w:val="0"/>
        <w:widowControl/>
        <w:spacing w:before="19" w:line="380" w:lineRule="exact"/>
        <w:jc w:val="center"/>
        <w:rPr>
          <w:rFonts w:hint="eastAsia" w:ascii="宋体" w:hAnsi="宋体" w:eastAsia="宋体" w:cs="宋体"/>
          <w:b/>
          <w:color w:val="auto"/>
          <w:sz w:val="32"/>
          <w:szCs w:val="32"/>
          <w:highlight w:val="none"/>
        </w:rPr>
      </w:pPr>
    </w:p>
    <w:p w14:paraId="17DC4180">
      <w:pPr>
        <w:pageBreakBefore w:val="0"/>
        <w:widowControl/>
        <w:spacing w:before="19" w:line="380" w:lineRule="exact"/>
        <w:jc w:val="center"/>
        <w:rPr>
          <w:rFonts w:hint="eastAsia" w:ascii="宋体" w:hAnsi="宋体" w:eastAsia="宋体" w:cs="宋体"/>
          <w:b/>
          <w:color w:val="auto"/>
          <w:sz w:val="32"/>
          <w:szCs w:val="32"/>
          <w:highlight w:val="none"/>
        </w:rPr>
      </w:pPr>
    </w:p>
    <w:p w14:paraId="34D96182">
      <w:pPr>
        <w:pageBreakBefore w:val="0"/>
        <w:widowControl/>
        <w:spacing w:before="19" w:line="380" w:lineRule="exact"/>
        <w:jc w:val="center"/>
        <w:rPr>
          <w:rFonts w:hint="eastAsia" w:ascii="宋体" w:hAnsi="宋体" w:eastAsia="宋体" w:cs="宋体"/>
          <w:b/>
          <w:color w:val="auto"/>
          <w:sz w:val="32"/>
          <w:szCs w:val="32"/>
          <w:highlight w:val="none"/>
        </w:rPr>
      </w:pPr>
    </w:p>
    <w:p w14:paraId="78FD4EB8">
      <w:pPr>
        <w:pageBreakBefore w:val="0"/>
        <w:widowControl/>
        <w:spacing w:before="19" w:line="38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二、开标一览表</w:t>
      </w:r>
    </w:p>
    <w:p w14:paraId="3F16E6E4">
      <w:pPr>
        <w:pageBreakBefore w:val="0"/>
        <w:widowControl/>
        <w:spacing w:before="19" w:line="380" w:lineRule="exact"/>
        <w:ind w:firstLine="3036"/>
        <w:rPr>
          <w:rFonts w:hint="eastAsia" w:ascii="宋体" w:hAnsi="宋体" w:eastAsia="宋体" w:cs="宋体"/>
          <w:b/>
          <w:color w:val="auto"/>
          <w:sz w:val="32"/>
          <w:szCs w:val="32"/>
          <w:highlight w:val="none"/>
        </w:rPr>
      </w:pPr>
    </w:p>
    <w:p w14:paraId="2AE60918">
      <w:pPr>
        <w:pStyle w:val="18"/>
        <w:keepNext w:val="0"/>
        <w:keepLines w:val="0"/>
        <w:pageBreakBefore w:val="0"/>
        <w:widowControl/>
        <w:suppressLineNumbers w:val="0"/>
        <w:spacing w:line="3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供应商名称 </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p>
    <w:p w14:paraId="37A45021">
      <w:pPr>
        <w:pStyle w:val="18"/>
        <w:keepNext w:val="0"/>
        <w:keepLines w:val="0"/>
        <w:pageBreakBefore w:val="0"/>
        <w:widowControl/>
        <w:suppressLineNumbers w:val="0"/>
        <w:spacing w:line="38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项目名称：</w:t>
      </w:r>
      <w:r>
        <w:rPr>
          <w:rFonts w:hint="eastAsia" w:ascii="宋体" w:hAnsi="宋体" w:eastAsia="宋体" w:cs="宋体"/>
          <w:color w:val="auto"/>
          <w:highlight w:val="none"/>
          <w:u w:val="single"/>
          <w:lang w:val="en-US" w:eastAsia="zh-CN"/>
        </w:rPr>
        <w:t xml:space="preserve">                         </w:t>
      </w:r>
    </w:p>
    <w:p w14:paraId="3F4D147F">
      <w:pPr>
        <w:pStyle w:val="18"/>
        <w:keepNext w:val="0"/>
        <w:keepLines w:val="0"/>
        <w:pageBreakBefore w:val="0"/>
        <w:widowControl/>
        <w:suppressLineNumbers w:val="0"/>
        <w:spacing w:line="3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131F6EC7">
      <w:pPr>
        <w:pStyle w:val="18"/>
        <w:keepNext w:val="0"/>
        <w:keepLines w:val="0"/>
        <w:pageBreakBefore w:val="0"/>
        <w:widowControl/>
        <w:suppressLineNumbers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p>
    <w:tbl>
      <w:tblPr>
        <w:tblStyle w:val="2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9328"/>
      </w:tblGrid>
      <w:tr w14:paraId="4AAEC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927" w:hRule="atLeast"/>
        </w:trPr>
        <w:tc>
          <w:tcPr>
            <w:tcW w:w="0" w:type="auto"/>
            <w:tcBorders>
              <w:top w:val="single" w:color="auto" w:sz="6" w:space="0"/>
              <w:left w:val="single" w:color="auto" w:sz="6" w:space="0"/>
              <w:bottom w:val="single" w:color="auto" w:sz="6" w:space="0"/>
              <w:right w:val="single" w:color="auto" w:sz="6" w:space="0"/>
            </w:tcBorders>
            <w:shd w:val="clear" w:color="auto" w:fill="auto"/>
            <w:noWrap w:val="0"/>
            <w:vAlign w:val="center"/>
          </w:tcPr>
          <w:p w14:paraId="762DAA85">
            <w:pPr>
              <w:keepNext w:val="0"/>
              <w:keepLines w:val="0"/>
              <w:pageBreakBefore w:val="0"/>
              <w:widowControl/>
              <w:suppressLineNumbers w:val="0"/>
              <w:spacing w:line="380" w:lineRule="exact"/>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投标总报价</w:t>
            </w:r>
          </w:p>
        </w:tc>
      </w:tr>
      <w:tr w14:paraId="1436A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1287" w:hRule="atLeast"/>
        </w:trPr>
        <w:tc>
          <w:tcPr>
            <w:tcW w:w="0" w:type="auto"/>
            <w:tcBorders>
              <w:top w:val="single" w:color="auto" w:sz="6" w:space="0"/>
              <w:left w:val="single" w:color="auto" w:sz="6" w:space="0"/>
              <w:bottom w:val="single" w:color="auto" w:sz="6" w:space="0"/>
              <w:right w:val="single" w:color="auto" w:sz="6" w:space="0"/>
            </w:tcBorders>
            <w:shd w:val="clear" w:color="auto" w:fill="auto"/>
            <w:noWrap w:val="0"/>
            <w:vAlign w:val="center"/>
          </w:tcPr>
          <w:p w14:paraId="4E663B05">
            <w:pPr>
              <w:keepNext w:val="0"/>
              <w:keepLines w:val="0"/>
              <w:pageBreakBefore w:val="0"/>
              <w:widowControl/>
              <w:suppressLineNumbers w:val="0"/>
              <w:spacing w:line="380" w:lineRule="exact"/>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小写：          （大写人民币：      ）</w:t>
            </w:r>
          </w:p>
        </w:tc>
      </w:tr>
    </w:tbl>
    <w:p w14:paraId="3613F769">
      <w:pPr>
        <w:pStyle w:val="18"/>
        <w:keepNext w:val="0"/>
        <w:keepLines w:val="0"/>
        <w:pageBreakBefore w:val="0"/>
        <w:widowControl/>
        <w:suppressLineNumbers w:val="0"/>
        <w:spacing w:line="380" w:lineRule="exact"/>
        <w:ind w:firstLine="4080"/>
        <w:rPr>
          <w:rFonts w:hint="eastAsia" w:ascii="宋体" w:hAnsi="宋体" w:eastAsia="宋体" w:cs="宋体"/>
          <w:color w:val="auto"/>
          <w:highlight w:val="none"/>
          <w:lang w:val="en-US" w:eastAsia="zh-CN"/>
        </w:rPr>
      </w:pPr>
    </w:p>
    <w:p w14:paraId="78BEFA7D">
      <w:pPr>
        <w:pStyle w:val="18"/>
        <w:keepNext w:val="0"/>
        <w:keepLines w:val="0"/>
        <w:pageBreakBefore w:val="0"/>
        <w:widowControl/>
        <w:suppressLineNumbers w:val="0"/>
        <w:spacing w:line="380" w:lineRule="exact"/>
        <w:ind w:firstLine="40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供应商名称 </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电子签章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w:t>
      </w:r>
    </w:p>
    <w:p w14:paraId="0868E27B">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p>
    <w:p w14:paraId="371A3A35">
      <w:pPr>
        <w:pStyle w:val="18"/>
        <w:keepNext w:val="0"/>
        <w:keepLines w:val="0"/>
        <w:pageBreakBefore w:val="0"/>
        <w:widowControl/>
        <w:suppressLineNumbers w:val="0"/>
        <w:spacing w:line="380" w:lineRule="exact"/>
        <w:ind w:firstLine="4080"/>
        <w:rPr>
          <w:rFonts w:hint="eastAsia" w:ascii="宋体" w:hAnsi="宋体" w:eastAsia="宋体" w:cs="宋体"/>
          <w:color w:val="auto"/>
          <w:highlight w:val="none"/>
          <w:lang w:val="en-US" w:eastAsia="zh-CN"/>
        </w:rPr>
      </w:pPr>
    </w:p>
    <w:p w14:paraId="4B847104">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lang w:val="en-US" w:eastAsia="zh-CN"/>
        </w:rPr>
      </w:pPr>
    </w:p>
    <w:p w14:paraId="1BD6D81D">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lang w:val="en-US" w:eastAsia="zh-CN"/>
        </w:rPr>
      </w:pPr>
    </w:p>
    <w:p w14:paraId="669AC194">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lang w:val="en-US" w:eastAsia="zh-CN"/>
        </w:rPr>
      </w:pPr>
    </w:p>
    <w:p w14:paraId="5BECDFE3">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lang w:val="en-US" w:eastAsia="zh-CN"/>
        </w:rPr>
      </w:pPr>
    </w:p>
    <w:p w14:paraId="422346BD">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lang w:val="en-US" w:eastAsia="zh-CN"/>
        </w:rPr>
      </w:pPr>
    </w:p>
    <w:p w14:paraId="557D2170">
      <w:pPr>
        <w:pStyle w:val="18"/>
        <w:keepNext w:val="0"/>
        <w:keepLines w:val="0"/>
        <w:pageBreakBefore w:val="0"/>
        <w:widowControl/>
        <w:suppressLineNumbers w:val="0"/>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p>
    <w:p w14:paraId="4AFA3A0E">
      <w:pPr>
        <w:pageBreakBefore w:val="0"/>
        <w:spacing w:line="380" w:lineRule="exact"/>
        <w:jc w:val="both"/>
        <w:rPr>
          <w:rFonts w:hint="eastAsia" w:ascii="宋体" w:hAnsi="宋体" w:eastAsia="宋体" w:cs="宋体"/>
          <w:b/>
          <w:bCs/>
          <w:sz w:val="32"/>
          <w:szCs w:val="32"/>
          <w:lang w:val="en-US" w:eastAsia="zh-CN"/>
        </w:rPr>
      </w:pPr>
      <w:r>
        <w:rPr>
          <w:rFonts w:hint="eastAsia" w:ascii="宋体" w:hAnsi="宋体" w:eastAsia="宋体" w:cs="宋体"/>
          <w:b w:val="0"/>
          <w:bCs w:val="0"/>
          <w:color w:val="auto"/>
          <w:sz w:val="32"/>
          <w:szCs w:val="40"/>
          <w:highlight w:val="none"/>
          <w:lang w:val="en-US" w:eastAsia="zh-CN"/>
        </w:rPr>
        <w:t xml:space="preserve"> </w:t>
      </w:r>
    </w:p>
    <w:p w14:paraId="1DF61698">
      <w:pPr>
        <w:spacing w:line="440" w:lineRule="exact"/>
        <w:jc w:val="center"/>
        <w:rPr>
          <w:rFonts w:hint="eastAsia" w:ascii="宋体" w:hAnsi="宋体" w:eastAsia="宋体" w:cs="宋体"/>
          <w:b/>
          <w:bCs/>
          <w:sz w:val="32"/>
          <w:szCs w:val="32"/>
          <w:lang w:val="en-US" w:eastAsia="zh-CN"/>
        </w:rPr>
      </w:pPr>
    </w:p>
    <w:p w14:paraId="31EE0AF6">
      <w:pPr>
        <w:spacing w:line="440" w:lineRule="exact"/>
        <w:jc w:val="center"/>
        <w:rPr>
          <w:rFonts w:hint="eastAsia" w:ascii="宋体" w:hAnsi="宋体" w:eastAsia="宋体" w:cs="宋体"/>
          <w:b/>
          <w:bCs/>
          <w:sz w:val="32"/>
          <w:szCs w:val="32"/>
        </w:rPr>
      </w:pPr>
      <w:r>
        <w:rPr>
          <w:rFonts w:hint="eastAsia" w:ascii="宋体" w:hAnsi="宋体" w:cs="宋体"/>
          <w:b/>
          <w:bCs/>
          <w:sz w:val="32"/>
          <w:szCs w:val="32"/>
          <w:lang w:val="en-US" w:eastAsia="zh-CN"/>
        </w:rPr>
        <w:t>三</w:t>
      </w:r>
      <w:r>
        <w:rPr>
          <w:rFonts w:hint="eastAsia" w:ascii="宋体" w:hAnsi="宋体" w:eastAsia="宋体" w:cs="宋体"/>
          <w:b/>
          <w:bCs/>
          <w:sz w:val="32"/>
          <w:szCs w:val="32"/>
        </w:rPr>
        <w:t>、服务承诺</w:t>
      </w:r>
    </w:p>
    <w:p w14:paraId="3CE77D30">
      <w:pPr>
        <w:spacing w:line="520" w:lineRule="exact"/>
        <w:jc w:val="center"/>
        <w:outlineLvl w:val="0"/>
        <w:rPr>
          <w:rFonts w:hint="eastAsia" w:ascii="宋体" w:hAnsi="宋体" w:eastAsia="宋体" w:cs="宋体"/>
          <w:sz w:val="28"/>
        </w:rPr>
      </w:pPr>
      <w:r>
        <w:rPr>
          <w:rFonts w:hint="eastAsia" w:ascii="宋体" w:hAnsi="宋体" w:eastAsia="宋体" w:cs="宋体"/>
          <w:sz w:val="28"/>
        </w:rPr>
        <w:t>（格式自</w:t>
      </w:r>
      <w:r>
        <w:rPr>
          <w:rFonts w:hint="eastAsia" w:ascii="宋体" w:hAnsi="宋体" w:eastAsia="宋体" w:cs="宋体"/>
          <w:sz w:val="28"/>
          <w:lang w:val="en-US" w:eastAsia="zh-CN"/>
        </w:rPr>
        <w:t>拟</w:t>
      </w:r>
      <w:r>
        <w:rPr>
          <w:rFonts w:hint="eastAsia" w:ascii="宋体" w:hAnsi="宋体" w:eastAsia="宋体" w:cs="宋体"/>
          <w:sz w:val="28"/>
        </w:rPr>
        <w:t>、加盖公章）</w:t>
      </w:r>
    </w:p>
    <w:p w14:paraId="7E6D8A0C">
      <w:pPr>
        <w:pageBreakBefore w:val="0"/>
        <w:widowControl/>
        <w:spacing w:line="480" w:lineRule="auto"/>
        <w:jc w:val="center"/>
        <w:rPr>
          <w:rFonts w:hint="eastAsia" w:ascii="宋体" w:hAnsi="宋体" w:eastAsia="宋体" w:cs="宋体"/>
          <w:b/>
          <w:color w:val="auto"/>
          <w:sz w:val="30"/>
          <w:szCs w:val="30"/>
          <w:highlight w:val="none"/>
          <w:lang w:val="en-US" w:eastAsia="zh-CN"/>
        </w:rPr>
      </w:pPr>
    </w:p>
    <w:p w14:paraId="47630217">
      <w:pPr>
        <w:pageBreakBefore w:val="0"/>
        <w:widowControl/>
        <w:spacing w:line="480" w:lineRule="auto"/>
        <w:jc w:val="center"/>
        <w:rPr>
          <w:rFonts w:hint="eastAsia" w:ascii="宋体" w:hAnsi="宋体" w:eastAsia="宋体" w:cs="宋体"/>
          <w:b/>
          <w:color w:val="auto"/>
          <w:sz w:val="30"/>
          <w:szCs w:val="30"/>
          <w:highlight w:val="none"/>
          <w:lang w:val="en-US" w:eastAsia="zh-CN"/>
        </w:rPr>
      </w:pPr>
    </w:p>
    <w:p w14:paraId="6217F72E">
      <w:pPr>
        <w:pageBreakBefore w:val="0"/>
        <w:widowControl/>
        <w:spacing w:line="480" w:lineRule="auto"/>
        <w:jc w:val="center"/>
        <w:rPr>
          <w:rFonts w:hint="eastAsia" w:ascii="宋体" w:hAnsi="宋体" w:eastAsia="宋体" w:cs="宋体"/>
          <w:b/>
          <w:bCs/>
          <w:color w:val="auto"/>
          <w:sz w:val="32"/>
          <w:szCs w:val="32"/>
          <w:highlight w:val="none"/>
        </w:rPr>
      </w:pPr>
      <w:r>
        <w:rPr>
          <w:rFonts w:hint="eastAsia" w:ascii="宋体" w:hAnsi="宋体" w:cs="宋体"/>
          <w:b/>
          <w:color w:val="auto"/>
          <w:sz w:val="30"/>
          <w:szCs w:val="30"/>
          <w:highlight w:val="none"/>
          <w:lang w:val="en-US" w:eastAsia="zh-CN"/>
        </w:rPr>
        <w:t>四</w:t>
      </w:r>
      <w:r>
        <w:rPr>
          <w:rFonts w:hint="eastAsia" w:ascii="宋体" w:hAnsi="宋体" w:eastAsia="宋体" w:cs="宋体"/>
          <w:b/>
          <w:color w:val="auto"/>
          <w:sz w:val="30"/>
          <w:szCs w:val="30"/>
          <w:highlight w:val="none"/>
        </w:rPr>
        <w:t>、供应商须提交的资格证明文件</w:t>
      </w:r>
      <w:r>
        <w:rPr>
          <w:rFonts w:hint="eastAsia" w:ascii="宋体" w:hAnsi="宋体" w:eastAsia="宋体" w:cs="宋体"/>
          <w:b/>
          <w:color w:val="auto"/>
          <w:sz w:val="30"/>
          <w:szCs w:val="30"/>
          <w:highlight w:val="none"/>
          <w:lang w:val="en-US" w:eastAsia="zh-CN"/>
        </w:rPr>
        <w:t>和</w:t>
      </w:r>
      <w:r>
        <w:rPr>
          <w:rFonts w:hint="eastAsia" w:ascii="宋体" w:hAnsi="宋体" w:eastAsia="宋体" w:cs="宋体"/>
          <w:b/>
          <w:bCs/>
          <w:color w:val="auto"/>
          <w:sz w:val="32"/>
          <w:szCs w:val="32"/>
          <w:highlight w:val="none"/>
        </w:rPr>
        <w:t>综合评分时</w:t>
      </w:r>
      <w:r>
        <w:rPr>
          <w:rFonts w:hint="eastAsia" w:ascii="宋体" w:hAnsi="宋体" w:eastAsia="宋体" w:cs="宋体"/>
          <w:b/>
          <w:bCs/>
          <w:color w:val="auto"/>
          <w:sz w:val="32"/>
          <w:szCs w:val="32"/>
          <w:highlight w:val="none"/>
          <w:lang w:val="en-US" w:eastAsia="zh-CN"/>
        </w:rPr>
        <w:t>需要</w:t>
      </w:r>
      <w:r>
        <w:rPr>
          <w:rFonts w:hint="eastAsia" w:ascii="宋体" w:hAnsi="宋体" w:eastAsia="宋体" w:cs="宋体"/>
          <w:b/>
          <w:bCs/>
          <w:color w:val="auto"/>
          <w:sz w:val="32"/>
          <w:szCs w:val="32"/>
          <w:highlight w:val="none"/>
        </w:rPr>
        <w:t>提供的</w:t>
      </w:r>
      <w:r>
        <w:rPr>
          <w:rFonts w:hint="eastAsia" w:ascii="宋体" w:hAnsi="宋体" w:eastAsia="宋体" w:cs="宋体"/>
          <w:b/>
          <w:bCs/>
          <w:color w:val="auto"/>
          <w:sz w:val="32"/>
          <w:szCs w:val="32"/>
          <w:highlight w:val="none"/>
          <w:lang w:val="en-US" w:eastAsia="zh-CN"/>
        </w:rPr>
        <w:t>相关</w:t>
      </w:r>
      <w:r>
        <w:rPr>
          <w:rFonts w:hint="eastAsia" w:ascii="宋体" w:hAnsi="宋体" w:eastAsia="宋体" w:cs="宋体"/>
          <w:b/>
          <w:bCs/>
          <w:color w:val="auto"/>
          <w:sz w:val="32"/>
          <w:szCs w:val="32"/>
          <w:highlight w:val="none"/>
        </w:rPr>
        <w:t>证明文件</w:t>
      </w:r>
    </w:p>
    <w:p w14:paraId="1762AC4A">
      <w:pPr>
        <w:pageBreakBefore w:val="0"/>
        <w:spacing w:line="380" w:lineRule="exact"/>
        <w:jc w:val="center"/>
        <w:rPr>
          <w:rFonts w:hint="eastAsia" w:ascii="宋体" w:hAnsi="宋体" w:eastAsia="宋体" w:cs="宋体"/>
          <w:b/>
          <w:color w:val="auto"/>
          <w:sz w:val="30"/>
          <w:szCs w:val="30"/>
          <w:highlight w:val="none"/>
          <w:lang w:val="en-US" w:eastAsia="zh-CN"/>
        </w:rPr>
      </w:pPr>
    </w:p>
    <w:p w14:paraId="3B3F8E07">
      <w:pPr>
        <w:pageBreakBefore w:val="0"/>
        <w:widowControl/>
        <w:spacing w:line="380" w:lineRule="exact"/>
        <w:ind w:firstLine="1108"/>
        <w:jc w:val="center"/>
        <w:rPr>
          <w:rFonts w:hint="eastAsia" w:ascii="宋体" w:hAnsi="宋体" w:eastAsia="宋体" w:cs="宋体"/>
          <w:b/>
          <w:bCs/>
          <w:color w:val="auto"/>
          <w:sz w:val="32"/>
          <w:highlight w:val="none"/>
          <w:lang w:val="en-US" w:eastAsia="zh-CN"/>
        </w:rPr>
      </w:pPr>
    </w:p>
    <w:p w14:paraId="1DAC2086">
      <w:pPr>
        <w:pageBreakBefore w:val="0"/>
        <w:widowControl/>
        <w:spacing w:line="380" w:lineRule="exact"/>
        <w:ind w:firstLine="1108"/>
        <w:jc w:val="center"/>
        <w:rPr>
          <w:rFonts w:hint="eastAsia" w:ascii="宋体" w:hAnsi="宋体" w:eastAsia="宋体" w:cs="宋体"/>
          <w:b/>
          <w:bCs/>
          <w:color w:val="auto"/>
          <w:sz w:val="32"/>
          <w:highlight w:val="none"/>
          <w:lang w:val="en-US" w:eastAsia="zh-CN"/>
        </w:rPr>
      </w:pPr>
    </w:p>
    <w:p w14:paraId="2435F2C4">
      <w:pPr>
        <w:pageBreakBefore w:val="0"/>
        <w:widowControl/>
        <w:spacing w:line="380" w:lineRule="exact"/>
        <w:ind w:firstLine="1108"/>
        <w:jc w:val="center"/>
        <w:rPr>
          <w:rFonts w:hint="eastAsia" w:ascii="宋体" w:hAnsi="宋体" w:eastAsia="宋体" w:cs="宋体"/>
          <w:b/>
          <w:bCs/>
          <w:color w:val="auto"/>
          <w:sz w:val="32"/>
          <w:highlight w:val="none"/>
          <w:lang w:val="en-US" w:eastAsia="zh-CN"/>
        </w:rPr>
      </w:pPr>
    </w:p>
    <w:p w14:paraId="34D72768">
      <w:pPr>
        <w:pageBreakBefore w:val="0"/>
        <w:widowControl/>
        <w:spacing w:line="380" w:lineRule="exact"/>
        <w:ind w:firstLine="321" w:firstLineChars="100"/>
        <w:jc w:val="both"/>
        <w:rPr>
          <w:rFonts w:hint="eastAsia" w:ascii="宋体" w:hAnsi="宋体" w:eastAsia="宋体" w:cs="宋体"/>
          <w:b/>
          <w:bCs/>
          <w:color w:val="auto"/>
          <w:sz w:val="32"/>
          <w:highlight w:val="none"/>
        </w:rPr>
      </w:pPr>
      <w:r>
        <w:rPr>
          <w:rFonts w:hint="eastAsia" w:ascii="宋体" w:hAnsi="宋体" w:cs="宋体"/>
          <w:b/>
          <w:bCs/>
          <w:color w:val="auto"/>
          <w:sz w:val="32"/>
          <w:highlight w:val="none"/>
          <w:lang w:val="en-US" w:eastAsia="zh-CN"/>
        </w:rPr>
        <w:t>五</w:t>
      </w:r>
      <w:r>
        <w:rPr>
          <w:rFonts w:hint="eastAsia" w:ascii="宋体" w:hAnsi="宋体" w:eastAsia="宋体" w:cs="宋体"/>
          <w:b/>
          <w:bCs/>
          <w:color w:val="auto"/>
          <w:sz w:val="32"/>
          <w:highlight w:val="none"/>
          <w:lang w:val="en-US" w:eastAsia="zh-CN"/>
        </w:rPr>
        <w:t>、供应商</w:t>
      </w:r>
      <w:r>
        <w:rPr>
          <w:rFonts w:hint="eastAsia" w:ascii="宋体" w:hAnsi="宋体" w:eastAsia="宋体" w:cs="宋体"/>
          <w:b/>
          <w:bCs/>
          <w:color w:val="auto"/>
          <w:sz w:val="32"/>
          <w:highlight w:val="none"/>
        </w:rPr>
        <w:t>认为有必要提供并说明</w:t>
      </w:r>
      <w:r>
        <w:rPr>
          <w:rFonts w:hint="eastAsia" w:ascii="宋体" w:hAnsi="宋体" w:eastAsia="宋体" w:cs="宋体"/>
          <w:b/>
          <w:bCs/>
          <w:color w:val="auto"/>
          <w:sz w:val="32"/>
          <w:highlight w:val="none"/>
          <w:lang w:eastAsia="zh-CN"/>
        </w:rPr>
        <w:t>的其他</w:t>
      </w:r>
      <w:r>
        <w:rPr>
          <w:rFonts w:hint="eastAsia" w:ascii="宋体" w:hAnsi="宋体" w:eastAsia="宋体" w:cs="宋体"/>
          <w:b/>
          <w:bCs/>
          <w:color w:val="auto"/>
          <w:sz w:val="32"/>
          <w:highlight w:val="none"/>
        </w:rPr>
        <w:t>资料</w:t>
      </w:r>
    </w:p>
    <w:p w14:paraId="0B46AA8A">
      <w:pPr>
        <w:pageBreakBefore w:val="0"/>
        <w:spacing w:line="380" w:lineRule="exact"/>
        <w:jc w:val="left"/>
        <w:rPr>
          <w:rFonts w:hint="eastAsia" w:ascii="宋体" w:hAnsi="宋体" w:eastAsia="宋体" w:cs="宋体"/>
          <w:b/>
          <w:bCs/>
          <w:color w:val="auto"/>
          <w:sz w:val="30"/>
          <w:szCs w:val="30"/>
          <w:highlight w:val="none"/>
        </w:rPr>
      </w:pPr>
    </w:p>
    <w:p w14:paraId="42FB3F37">
      <w:pPr>
        <w:pageBreakBefore w:val="0"/>
        <w:spacing w:line="380" w:lineRule="exact"/>
        <w:jc w:val="left"/>
        <w:rPr>
          <w:rFonts w:hint="eastAsia" w:ascii="宋体" w:hAnsi="宋体" w:eastAsia="宋体" w:cs="宋体"/>
          <w:b/>
          <w:bCs/>
          <w:color w:val="auto"/>
          <w:sz w:val="30"/>
          <w:szCs w:val="30"/>
          <w:highlight w:val="none"/>
        </w:rPr>
      </w:pPr>
    </w:p>
    <w:p w14:paraId="0FA4ED0E">
      <w:pPr>
        <w:pageBreakBefore w:val="0"/>
        <w:spacing w:line="380" w:lineRule="exact"/>
        <w:jc w:val="left"/>
        <w:rPr>
          <w:rFonts w:hint="eastAsia" w:ascii="宋体" w:hAnsi="宋体" w:eastAsia="宋体" w:cs="宋体"/>
          <w:b/>
          <w:bCs/>
          <w:color w:val="auto"/>
          <w:sz w:val="30"/>
          <w:szCs w:val="30"/>
          <w:highlight w:val="none"/>
        </w:rPr>
      </w:pPr>
    </w:p>
    <w:p w14:paraId="03D3E33C">
      <w:pPr>
        <w:pageBreakBefore w:val="0"/>
        <w:spacing w:line="380" w:lineRule="exact"/>
        <w:jc w:val="left"/>
        <w:rPr>
          <w:rFonts w:hint="eastAsia" w:ascii="宋体" w:hAnsi="宋体" w:eastAsia="宋体" w:cs="宋体"/>
          <w:b/>
          <w:bCs/>
          <w:color w:val="auto"/>
          <w:sz w:val="30"/>
          <w:szCs w:val="30"/>
          <w:highlight w:val="none"/>
        </w:rPr>
      </w:pPr>
    </w:p>
    <w:p w14:paraId="0C1DA874">
      <w:pPr>
        <w:pageBreakBefore w:val="0"/>
        <w:spacing w:line="380" w:lineRule="exact"/>
        <w:jc w:val="left"/>
        <w:rPr>
          <w:rFonts w:hint="eastAsia" w:ascii="宋体" w:hAnsi="宋体" w:eastAsia="宋体" w:cs="宋体"/>
          <w:b/>
          <w:bCs/>
          <w:color w:val="auto"/>
          <w:sz w:val="30"/>
          <w:szCs w:val="30"/>
          <w:highlight w:val="none"/>
        </w:rPr>
      </w:pPr>
    </w:p>
    <w:p w14:paraId="5BF51C4E">
      <w:pPr>
        <w:pageBreakBefore w:val="0"/>
        <w:spacing w:line="380" w:lineRule="exact"/>
        <w:jc w:val="left"/>
        <w:rPr>
          <w:rFonts w:hint="eastAsia" w:ascii="宋体" w:hAnsi="宋体" w:eastAsia="宋体" w:cs="宋体"/>
          <w:b/>
          <w:bCs/>
          <w:color w:val="auto"/>
          <w:sz w:val="30"/>
          <w:szCs w:val="30"/>
          <w:highlight w:val="none"/>
        </w:rPr>
      </w:pPr>
    </w:p>
    <w:p w14:paraId="063E150A">
      <w:pPr>
        <w:pageBreakBefore w:val="0"/>
        <w:spacing w:line="380" w:lineRule="exact"/>
        <w:jc w:val="left"/>
        <w:rPr>
          <w:rFonts w:hint="eastAsia" w:ascii="宋体" w:hAnsi="宋体" w:eastAsia="宋体" w:cs="宋体"/>
          <w:b/>
          <w:bCs/>
          <w:color w:val="auto"/>
          <w:sz w:val="30"/>
          <w:szCs w:val="30"/>
          <w:highlight w:val="none"/>
        </w:rPr>
      </w:pPr>
    </w:p>
    <w:p w14:paraId="5350DC60">
      <w:pPr>
        <w:pageBreakBefore w:val="0"/>
        <w:spacing w:line="380" w:lineRule="exact"/>
        <w:jc w:val="left"/>
        <w:rPr>
          <w:rFonts w:hint="eastAsia" w:ascii="宋体" w:hAnsi="宋体" w:eastAsia="宋体" w:cs="宋体"/>
          <w:b/>
          <w:bCs/>
          <w:color w:val="auto"/>
          <w:sz w:val="30"/>
          <w:szCs w:val="30"/>
          <w:highlight w:val="none"/>
        </w:rPr>
      </w:pPr>
    </w:p>
    <w:p w14:paraId="2AD05DD7">
      <w:pPr>
        <w:pageBreakBefore w:val="0"/>
        <w:spacing w:line="380" w:lineRule="exact"/>
        <w:jc w:val="left"/>
        <w:rPr>
          <w:rFonts w:hint="eastAsia" w:ascii="宋体" w:hAnsi="宋体" w:eastAsia="宋体" w:cs="宋体"/>
          <w:b/>
          <w:bCs/>
          <w:color w:val="auto"/>
          <w:sz w:val="30"/>
          <w:szCs w:val="30"/>
          <w:highlight w:val="none"/>
        </w:rPr>
      </w:pPr>
    </w:p>
    <w:p w14:paraId="50D4C5A0">
      <w:pPr>
        <w:pageBreakBefore w:val="0"/>
        <w:spacing w:line="380" w:lineRule="exact"/>
        <w:jc w:val="left"/>
        <w:rPr>
          <w:rFonts w:hint="eastAsia" w:ascii="宋体" w:hAnsi="宋体" w:eastAsia="宋体" w:cs="宋体"/>
          <w:b/>
          <w:bCs/>
          <w:color w:val="auto"/>
          <w:sz w:val="30"/>
          <w:szCs w:val="30"/>
          <w:highlight w:val="none"/>
        </w:rPr>
      </w:pPr>
    </w:p>
    <w:p w14:paraId="20DB811D">
      <w:pPr>
        <w:pageBreakBefore w:val="0"/>
        <w:spacing w:line="380" w:lineRule="exact"/>
        <w:jc w:val="left"/>
        <w:rPr>
          <w:rFonts w:hint="eastAsia" w:ascii="宋体" w:hAnsi="宋体" w:eastAsia="宋体" w:cs="宋体"/>
          <w:b/>
          <w:bCs/>
          <w:color w:val="auto"/>
          <w:sz w:val="30"/>
          <w:szCs w:val="30"/>
          <w:highlight w:val="none"/>
        </w:rPr>
      </w:pPr>
    </w:p>
    <w:p w14:paraId="5C05DCF1">
      <w:pPr>
        <w:pageBreakBefore w:val="0"/>
        <w:spacing w:line="380" w:lineRule="exact"/>
        <w:jc w:val="left"/>
        <w:rPr>
          <w:rFonts w:hint="eastAsia" w:ascii="宋体" w:hAnsi="宋体" w:eastAsia="宋体" w:cs="宋体"/>
          <w:b/>
          <w:bCs/>
          <w:color w:val="auto"/>
          <w:sz w:val="30"/>
          <w:szCs w:val="30"/>
          <w:highlight w:val="none"/>
        </w:rPr>
      </w:pPr>
    </w:p>
    <w:p w14:paraId="55A57F0F">
      <w:pPr>
        <w:pageBreakBefore w:val="0"/>
        <w:spacing w:line="380" w:lineRule="exact"/>
        <w:jc w:val="left"/>
        <w:rPr>
          <w:rFonts w:hint="eastAsia" w:ascii="宋体" w:hAnsi="宋体" w:eastAsia="宋体" w:cs="宋体"/>
          <w:b/>
          <w:bCs/>
          <w:color w:val="auto"/>
          <w:sz w:val="30"/>
          <w:szCs w:val="30"/>
          <w:highlight w:val="none"/>
        </w:rPr>
      </w:pPr>
    </w:p>
    <w:p w14:paraId="5D5D793D">
      <w:pPr>
        <w:pageBreakBefore w:val="0"/>
        <w:spacing w:line="380" w:lineRule="exact"/>
        <w:jc w:val="left"/>
        <w:rPr>
          <w:rFonts w:hint="eastAsia" w:ascii="宋体" w:hAnsi="宋体" w:eastAsia="宋体" w:cs="宋体"/>
          <w:b/>
          <w:bCs/>
          <w:color w:val="auto"/>
          <w:sz w:val="30"/>
          <w:szCs w:val="30"/>
          <w:highlight w:val="none"/>
        </w:rPr>
      </w:pPr>
    </w:p>
    <w:p w14:paraId="522FA5A4">
      <w:pPr>
        <w:pageBreakBefore w:val="0"/>
        <w:spacing w:line="380" w:lineRule="exact"/>
        <w:jc w:val="left"/>
        <w:rPr>
          <w:rFonts w:hint="eastAsia" w:ascii="宋体" w:hAnsi="宋体" w:eastAsia="宋体" w:cs="宋体"/>
          <w:b/>
          <w:bCs/>
          <w:color w:val="auto"/>
          <w:sz w:val="30"/>
          <w:szCs w:val="30"/>
          <w:highlight w:val="none"/>
        </w:rPr>
      </w:pPr>
    </w:p>
    <w:p w14:paraId="5589D653">
      <w:pPr>
        <w:pageBreakBefore w:val="0"/>
        <w:spacing w:line="380" w:lineRule="exact"/>
        <w:jc w:val="left"/>
        <w:rPr>
          <w:rFonts w:hint="eastAsia" w:ascii="宋体" w:hAnsi="宋体" w:eastAsia="宋体" w:cs="宋体"/>
          <w:b/>
          <w:bCs/>
          <w:color w:val="auto"/>
          <w:sz w:val="30"/>
          <w:szCs w:val="30"/>
          <w:highlight w:val="none"/>
        </w:rPr>
      </w:pPr>
    </w:p>
    <w:p w14:paraId="1987CB7D">
      <w:pPr>
        <w:pageBreakBefore w:val="0"/>
        <w:spacing w:line="380" w:lineRule="exact"/>
        <w:jc w:val="left"/>
        <w:rPr>
          <w:rFonts w:hint="eastAsia" w:ascii="宋体" w:hAnsi="宋体" w:eastAsia="宋体" w:cs="宋体"/>
          <w:b/>
          <w:bCs/>
          <w:color w:val="auto"/>
          <w:sz w:val="30"/>
          <w:szCs w:val="30"/>
          <w:highlight w:val="none"/>
        </w:rPr>
      </w:pPr>
    </w:p>
    <w:p w14:paraId="6B61A80E">
      <w:pPr>
        <w:pageBreakBefore w:val="0"/>
        <w:spacing w:line="380" w:lineRule="exact"/>
        <w:jc w:val="left"/>
        <w:rPr>
          <w:rFonts w:hint="eastAsia" w:ascii="宋体" w:hAnsi="宋体" w:eastAsia="宋体" w:cs="宋体"/>
          <w:b/>
          <w:bCs/>
          <w:color w:val="auto"/>
          <w:sz w:val="30"/>
          <w:szCs w:val="30"/>
          <w:highlight w:val="none"/>
        </w:rPr>
      </w:pPr>
    </w:p>
    <w:p w14:paraId="7858CDB2">
      <w:pPr>
        <w:pageBreakBefore w:val="0"/>
        <w:spacing w:line="380" w:lineRule="exact"/>
        <w:jc w:val="left"/>
        <w:rPr>
          <w:rFonts w:hint="eastAsia" w:ascii="宋体" w:hAnsi="宋体" w:eastAsia="宋体" w:cs="宋体"/>
          <w:b/>
          <w:bCs/>
          <w:color w:val="auto"/>
          <w:sz w:val="30"/>
          <w:szCs w:val="30"/>
          <w:highlight w:val="none"/>
        </w:rPr>
      </w:pPr>
    </w:p>
    <w:p w14:paraId="414B8672">
      <w:pPr>
        <w:pageBreakBefore w:val="0"/>
        <w:spacing w:line="380" w:lineRule="exact"/>
        <w:jc w:val="left"/>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示范格式一  </w:t>
      </w:r>
      <w:r>
        <w:rPr>
          <w:rFonts w:hint="eastAsia" w:ascii="宋体" w:hAnsi="宋体" w:eastAsia="宋体" w:cs="宋体"/>
          <w:color w:val="auto"/>
          <w:sz w:val="30"/>
          <w:szCs w:val="30"/>
          <w:highlight w:val="none"/>
        </w:rPr>
        <w:t xml:space="preserve">      </w:t>
      </w:r>
    </w:p>
    <w:p w14:paraId="578C36A5">
      <w:pPr>
        <w:pageBreakBefore w:val="0"/>
        <w:spacing w:line="380" w:lineRule="exact"/>
        <w:ind w:firstLine="289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法定代表人资格证明</w:t>
      </w:r>
    </w:p>
    <w:p w14:paraId="59DB19AB">
      <w:pPr>
        <w:pageBreakBefore w:val="0"/>
        <w:widowControl w:val="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单位名称:</w:t>
      </w:r>
    </w:p>
    <w:p w14:paraId="6B999DC4">
      <w:pPr>
        <w:pageBreakBefore w:val="0"/>
        <w:widowControl w:val="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地址:</w:t>
      </w:r>
    </w:p>
    <w:p w14:paraId="75EC8F1B">
      <w:pPr>
        <w:pageBreakBefore w:val="0"/>
        <w:widowControl w:val="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姓名:     性别:      年龄:      职务:</w:t>
      </w:r>
      <w:r>
        <w:rPr>
          <w:rFonts w:hint="eastAsia" w:ascii="宋体" w:hAnsi="宋体" w:eastAsia="宋体" w:cs="宋体"/>
          <w:color w:val="auto"/>
          <w:sz w:val="28"/>
          <w:szCs w:val="28"/>
          <w:highlight w:val="none"/>
          <w:lang w:val="en-US" w:eastAsia="zh-CN"/>
        </w:rPr>
        <w:t xml:space="preserve">     电话：</w:t>
      </w:r>
    </w:p>
    <w:p w14:paraId="73C12578">
      <w:pPr>
        <w:pageBreakBefore w:val="0"/>
        <w:widowControl w:val="0"/>
        <w:spacing w:line="480" w:lineRule="exact"/>
        <w:ind w:left="1" w:firstLine="560"/>
        <w:rPr>
          <w:rFonts w:hint="eastAsia" w:ascii="宋体" w:hAnsi="宋体" w:eastAsia="宋体" w:cs="宋体"/>
          <w:color w:val="auto"/>
          <w:sz w:val="28"/>
          <w:szCs w:val="28"/>
          <w:highlight w:val="none"/>
          <w:lang w:val="zh-CN"/>
        </w:rPr>
      </w:pPr>
    </w:p>
    <w:p w14:paraId="594864F0">
      <w:pPr>
        <w:pageBreakBefore w:val="0"/>
        <w:widowControl w:val="0"/>
        <w:spacing w:line="480" w:lineRule="exact"/>
        <w:ind w:left="1" w:firstLine="560"/>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lang w:val="zh-CN"/>
        </w:rPr>
        <w:t>系</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en-US" w:eastAsia="zh-CN"/>
        </w:rPr>
        <w:t>供应商</w:t>
      </w:r>
      <w:r>
        <w:rPr>
          <w:rFonts w:hint="eastAsia" w:ascii="宋体" w:hAnsi="宋体" w:eastAsia="宋体" w:cs="宋体"/>
          <w:color w:val="auto"/>
          <w:sz w:val="28"/>
          <w:szCs w:val="28"/>
          <w:highlight w:val="none"/>
          <w:u w:val="single"/>
          <w:lang w:val="zh-CN"/>
        </w:rPr>
        <w:t>名称）</w:t>
      </w:r>
      <w:r>
        <w:rPr>
          <w:rFonts w:hint="eastAsia" w:ascii="宋体" w:hAnsi="宋体" w:eastAsia="宋体" w:cs="宋体"/>
          <w:color w:val="auto"/>
          <w:sz w:val="28"/>
          <w:szCs w:val="28"/>
          <w:highlight w:val="none"/>
          <w:lang w:val="zh-CN"/>
        </w:rPr>
        <w:t>的法定代表人。</w:t>
      </w:r>
      <w:r>
        <w:rPr>
          <w:rFonts w:hint="eastAsia" w:ascii="宋体" w:hAnsi="宋体" w:eastAsia="宋体" w:cs="宋体"/>
          <w:color w:val="auto"/>
          <w:sz w:val="28"/>
          <w:highlight w:val="none"/>
        </w:rPr>
        <w:t>为参与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项目，签署上述项目的</w:t>
      </w:r>
      <w:r>
        <w:rPr>
          <w:rFonts w:hint="eastAsia" w:ascii="宋体" w:hAnsi="宋体" w:eastAsia="宋体" w:cs="宋体"/>
          <w:color w:val="auto"/>
          <w:sz w:val="28"/>
          <w:highlight w:val="none"/>
          <w:lang w:val="en-US" w:eastAsia="zh-CN"/>
        </w:rPr>
        <w:t>响应</w:t>
      </w:r>
      <w:r>
        <w:rPr>
          <w:rFonts w:hint="eastAsia" w:ascii="宋体" w:hAnsi="宋体" w:eastAsia="宋体" w:cs="宋体"/>
          <w:color w:val="auto"/>
          <w:sz w:val="28"/>
          <w:highlight w:val="none"/>
        </w:rPr>
        <w:t>文件、进行</w:t>
      </w:r>
      <w:r>
        <w:rPr>
          <w:rFonts w:hint="eastAsia" w:ascii="宋体" w:hAnsi="宋体" w:eastAsia="宋体" w:cs="宋体"/>
          <w:color w:val="auto"/>
          <w:sz w:val="28"/>
          <w:highlight w:val="none"/>
          <w:lang w:val="en-US" w:eastAsia="zh-CN"/>
        </w:rPr>
        <w:t>投标</w:t>
      </w:r>
      <w:r>
        <w:rPr>
          <w:rFonts w:hint="eastAsia" w:ascii="宋体" w:hAnsi="宋体" w:eastAsia="宋体" w:cs="宋体"/>
          <w:color w:val="auto"/>
          <w:sz w:val="28"/>
          <w:highlight w:val="none"/>
        </w:rPr>
        <w:t>、签署合同和处理与之有关的一切事务。</w:t>
      </w:r>
    </w:p>
    <w:p w14:paraId="18CC28A6">
      <w:pPr>
        <w:pageBreakBefore w:val="0"/>
        <w:widowControl w:val="0"/>
        <w:spacing w:line="480" w:lineRule="exact"/>
        <w:ind w:firstLine="280"/>
        <w:rPr>
          <w:rFonts w:hint="eastAsia" w:ascii="宋体" w:hAnsi="宋体" w:eastAsia="宋体" w:cs="宋体"/>
          <w:color w:val="auto"/>
          <w:sz w:val="28"/>
          <w:szCs w:val="28"/>
          <w:highlight w:val="none"/>
        </w:rPr>
      </w:pPr>
    </w:p>
    <w:p w14:paraId="0C487033">
      <w:pPr>
        <w:pageBreakBefore w:val="0"/>
        <w:widowControl w:val="0"/>
        <w:spacing w:line="480" w:lineRule="exact"/>
        <w:rPr>
          <w:rFonts w:hint="eastAsia" w:ascii="宋体" w:hAnsi="宋体" w:eastAsia="宋体" w:cs="宋体"/>
          <w:color w:val="auto"/>
          <w:sz w:val="28"/>
          <w:szCs w:val="28"/>
          <w:highlight w:val="none"/>
          <w:lang w:val="zh-CN"/>
        </w:rPr>
      </w:pPr>
    </w:p>
    <w:p w14:paraId="5AAF8096">
      <w:pPr>
        <w:pageBreakBefore w:val="0"/>
        <w:widowControl w:val="0"/>
        <w:spacing w:line="480" w:lineRule="exact"/>
        <w:ind w:firstLine="28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特此证明。</w:t>
      </w:r>
    </w:p>
    <w:p w14:paraId="3499883B">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p>
    <w:p w14:paraId="7F583502">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p>
    <w:p w14:paraId="1897CDB9">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218B180A">
      <w:pPr>
        <w:pStyle w:val="38"/>
        <w:pageBreakBefore w:val="0"/>
        <w:widowControl w:val="0"/>
        <w:spacing w:before="0" w:after="0" w:line="480" w:lineRule="exact"/>
        <w:ind w:left="4760" w:right="560" w:hanging="1820"/>
        <w:rPr>
          <w:rFonts w:hint="eastAsia" w:ascii="宋体" w:hAnsi="宋体" w:eastAsia="宋体" w:cs="宋体"/>
          <w:color w:val="auto"/>
          <w:sz w:val="28"/>
          <w:szCs w:val="28"/>
          <w:highlight w:val="none"/>
          <w:lang w:val="zh-CN"/>
        </w:rPr>
      </w:pPr>
    </w:p>
    <w:p w14:paraId="0409F933">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p>
    <w:p w14:paraId="5410A87B">
      <w:pPr>
        <w:pageBreakBefore w:val="0"/>
        <w:widowControl w:val="0"/>
        <w:spacing w:line="480" w:lineRule="exact"/>
        <w:ind w:firstLine="56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highlight w:val="none"/>
        </w:rPr>
        <w:t>注</w:t>
      </w:r>
      <w:r>
        <w:rPr>
          <w:rFonts w:hint="eastAsia" w:ascii="宋体" w:hAnsi="宋体" w:eastAsia="宋体" w:cs="宋体"/>
          <w:b/>
          <w:bCs w:val="0"/>
          <w:color w:val="auto"/>
          <w:sz w:val="28"/>
          <w:highlight w:val="none"/>
          <w:lang w:eastAsia="zh-CN"/>
        </w:rPr>
        <w:t>：</w:t>
      </w:r>
      <w:r>
        <w:rPr>
          <w:rFonts w:hint="eastAsia" w:ascii="宋体" w:hAnsi="宋体" w:eastAsia="宋体" w:cs="宋体"/>
          <w:b/>
          <w:bCs w:val="0"/>
          <w:color w:val="auto"/>
          <w:sz w:val="28"/>
          <w:highlight w:val="none"/>
          <w:lang w:val="en-US" w:eastAsia="zh-CN"/>
        </w:rPr>
        <w:t>供应商</w:t>
      </w:r>
      <w:r>
        <w:rPr>
          <w:rFonts w:hint="eastAsia" w:ascii="宋体" w:hAnsi="宋体" w:eastAsia="宋体" w:cs="宋体"/>
          <w:b/>
          <w:bCs w:val="0"/>
          <w:color w:val="auto"/>
          <w:sz w:val="28"/>
          <w:highlight w:val="none"/>
        </w:rPr>
        <w:t>法定代表人</w:t>
      </w:r>
      <w:r>
        <w:rPr>
          <w:rFonts w:hint="eastAsia" w:ascii="宋体" w:hAnsi="宋体" w:eastAsia="宋体" w:cs="宋体"/>
          <w:b/>
          <w:bCs w:val="0"/>
          <w:color w:val="auto"/>
          <w:sz w:val="28"/>
          <w:szCs w:val="28"/>
          <w:highlight w:val="none"/>
        </w:rPr>
        <w:t>参加投标的，必须附</w:t>
      </w:r>
      <w:r>
        <w:rPr>
          <w:rFonts w:hint="eastAsia" w:ascii="宋体" w:hAnsi="宋体" w:eastAsia="宋体" w:cs="宋体"/>
          <w:b/>
          <w:bCs w:val="0"/>
          <w:color w:val="auto"/>
          <w:sz w:val="28"/>
          <w:highlight w:val="none"/>
        </w:rPr>
        <w:t>法定代表人</w:t>
      </w:r>
      <w:r>
        <w:rPr>
          <w:rFonts w:hint="eastAsia" w:ascii="宋体" w:hAnsi="宋体" w:eastAsia="宋体" w:cs="宋体"/>
          <w:b/>
          <w:bCs w:val="0"/>
          <w:color w:val="auto"/>
          <w:sz w:val="28"/>
          <w:szCs w:val="28"/>
          <w:highlight w:val="none"/>
        </w:rPr>
        <w:t>身份证扫描件加盖</w:t>
      </w:r>
      <w:r>
        <w:rPr>
          <w:rFonts w:hint="eastAsia" w:ascii="宋体" w:hAnsi="宋体" w:eastAsia="宋体" w:cs="宋体"/>
          <w:b/>
          <w:bCs w:val="0"/>
          <w:color w:val="auto"/>
          <w:sz w:val="28"/>
          <w:szCs w:val="28"/>
          <w:highlight w:val="none"/>
          <w:lang w:val="en-US" w:eastAsia="zh-CN"/>
        </w:rPr>
        <w:t>供应商</w:t>
      </w:r>
      <w:r>
        <w:rPr>
          <w:rFonts w:hint="eastAsia" w:ascii="宋体" w:hAnsi="宋体" w:eastAsia="宋体" w:cs="宋体"/>
          <w:b/>
          <w:bCs w:val="0"/>
          <w:color w:val="auto"/>
          <w:sz w:val="28"/>
          <w:szCs w:val="28"/>
          <w:highlight w:val="none"/>
        </w:rPr>
        <w:t>电子签章。法定代表人授权其他人参加投标的，仅需填写“授权委托书”。</w:t>
      </w:r>
    </w:p>
    <w:p w14:paraId="68FBB49C">
      <w:pPr>
        <w:pageBreakBefore w:val="0"/>
        <w:widowControl w:val="0"/>
        <w:spacing w:line="480" w:lineRule="exact"/>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p>
    <w:p w14:paraId="4455B783">
      <w:pPr>
        <w:pStyle w:val="5"/>
        <w:pageBreakBefore w:val="0"/>
        <w:widowControl w:val="0"/>
        <w:shd w:val="clear" w:color="auto" w:fill="FFFFFF"/>
        <w:spacing w:line="480" w:lineRule="exact"/>
        <w:ind w:left="0" w:firstLine="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示范格式二</w:t>
      </w:r>
    </w:p>
    <w:p w14:paraId="296DB8A7">
      <w:pPr>
        <w:pageBreakBefore w:val="0"/>
        <w:widowControl w:val="0"/>
        <w:spacing w:line="480" w:lineRule="exact"/>
        <w:ind w:firstLine="35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授权委托书</w:t>
      </w:r>
    </w:p>
    <w:p w14:paraId="701B30B1">
      <w:pPr>
        <w:pageBreakBefore w:val="0"/>
        <w:widowControl w:val="0"/>
        <w:spacing w:line="480" w:lineRule="exact"/>
        <w:ind w:firstLine="482"/>
        <w:rPr>
          <w:rFonts w:hint="eastAsia" w:ascii="宋体" w:hAnsi="宋体" w:eastAsia="宋体" w:cs="宋体"/>
          <w:b/>
          <w:bCs/>
          <w:color w:val="auto"/>
          <w:sz w:val="24"/>
          <w:highlight w:val="none"/>
        </w:rPr>
      </w:pPr>
    </w:p>
    <w:p w14:paraId="1D5C68DC">
      <w:pPr>
        <w:pageBreakBefore w:val="0"/>
        <w:widowControl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u w:val="single"/>
        </w:rPr>
        <w:t xml:space="preserve">        （采购单位）                    </w:t>
      </w:r>
      <w:r>
        <w:rPr>
          <w:rFonts w:hint="eastAsia" w:ascii="宋体" w:hAnsi="宋体" w:eastAsia="宋体" w:cs="宋体"/>
          <w:b/>
          <w:bCs/>
          <w:color w:val="auto"/>
          <w:sz w:val="24"/>
          <w:highlight w:val="none"/>
        </w:rPr>
        <w:t>：</w:t>
      </w:r>
    </w:p>
    <w:p w14:paraId="2B0BA870">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bCs/>
          <w:color w:val="auto"/>
          <w:sz w:val="30"/>
          <w:szCs w:val="28"/>
          <w:highlight w:val="none"/>
          <w:lang w:val="en-US" w:eastAsia="zh-CN"/>
        </w:rPr>
        <w:t xml:space="preserve"> </w:t>
      </w:r>
      <w:r>
        <w:rPr>
          <w:rFonts w:hint="eastAsia" w:ascii="宋体" w:hAnsi="宋体" w:eastAsia="宋体" w:cs="宋体"/>
          <w:color w:val="auto"/>
          <w:sz w:val="28"/>
          <w:szCs w:val="28"/>
          <w:highlight w:val="none"/>
        </w:rPr>
        <w:t>本授权书宣告:</w:t>
      </w:r>
    </w:p>
    <w:p w14:paraId="0E77F022">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地址:</w:t>
      </w:r>
      <w:r>
        <w:rPr>
          <w:rFonts w:hint="eastAsia" w:ascii="宋体" w:hAnsi="宋体" w:eastAsia="宋体" w:cs="宋体"/>
          <w:color w:val="auto"/>
          <w:sz w:val="28"/>
          <w:szCs w:val="28"/>
          <w:highlight w:val="none"/>
          <w:u w:val="single"/>
        </w:rPr>
        <w:t xml:space="preserve">            </w:t>
      </w:r>
    </w:p>
    <w:p w14:paraId="41F53F7A">
      <w:pPr>
        <w:pageBreakBefore w:val="0"/>
        <w:widowControl w:val="0"/>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p>
    <w:p w14:paraId="7066F1A4">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受托人:姓名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出生日期: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7EA1CDE">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所在单位: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46AEF242">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u w:val="single"/>
        </w:rPr>
        <w:t xml:space="preserve">       </w:t>
      </w:r>
    </w:p>
    <w:p w14:paraId="7D5C29C4">
      <w:pPr>
        <w:pageBreakBefore w:val="0"/>
        <w:widowControl w:val="0"/>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兹委托受托人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代表我公司参加</w:t>
      </w:r>
      <w:r>
        <w:rPr>
          <w:rFonts w:hint="eastAsia" w:ascii="宋体" w:hAnsi="宋体" w:eastAsia="宋体" w:cs="宋体"/>
          <w:color w:val="auto"/>
          <w:sz w:val="28"/>
          <w:szCs w:val="28"/>
          <w:highlight w:val="none"/>
          <w:u w:val="single"/>
          <w:lang w:val="en-US" w:eastAsia="zh-CN"/>
        </w:rPr>
        <w:t xml:space="preserve">    项目名称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）采购项目的政府采购活动，受托人有权在该</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活动中，以我单位的名义签署</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函和投标文件，与采购</w:t>
      </w:r>
      <w:r>
        <w:rPr>
          <w:rFonts w:hint="eastAsia" w:ascii="宋体" w:hAnsi="宋体" w:eastAsia="宋体" w:cs="宋体"/>
          <w:color w:val="auto"/>
          <w:sz w:val="28"/>
          <w:szCs w:val="28"/>
          <w:highlight w:val="none"/>
          <w:lang w:eastAsia="zh-CN"/>
        </w:rPr>
        <w:t>人</w:t>
      </w:r>
      <w:r>
        <w:rPr>
          <w:rFonts w:hint="eastAsia" w:ascii="宋体" w:hAnsi="宋体" w:eastAsia="宋体" w:cs="宋体"/>
          <w:color w:val="auto"/>
          <w:sz w:val="28"/>
          <w:szCs w:val="28"/>
          <w:highlight w:val="none"/>
        </w:rPr>
        <w:t>协商、澄清、解释，签订合同书并执行一切与此有关的事项。</w:t>
      </w:r>
    </w:p>
    <w:p w14:paraId="39C3A83C">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受托人在办理上述事宜过程中以其自己的名义所签署的所有文件我公司均予以承认。受托人无转委托权。</w:t>
      </w:r>
    </w:p>
    <w:p w14:paraId="24FD453D">
      <w:pPr>
        <w:pageBreakBefore w:val="0"/>
        <w:widowControl w:val="0"/>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委托期限:至上述事宜处理完毕止。</w:t>
      </w:r>
    </w:p>
    <w:p w14:paraId="0FE01C04">
      <w:pPr>
        <w:pageBreakBefore w:val="0"/>
        <w:widowControl w:val="0"/>
        <w:spacing w:line="480" w:lineRule="exact"/>
        <w:ind w:firstLine="600"/>
        <w:rPr>
          <w:rFonts w:hint="eastAsia" w:ascii="宋体" w:hAnsi="宋体" w:eastAsia="宋体" w:cs="宋体"/>
          <w:b/>
          <w:color w:val="auto"/>
          <w:sz w:val="28"/>
          <w:szCs w:val="28"/>
          <w:highlight w:val="none"/>
        </w:rPr>
      </w:pPr>
    </w:p>
    <w:p w14:paraId="2B54F71F">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供应商:</w:t>
      </w:r>
      <w:r>
        <w:rPr>
          <w:rFonts w:hint="eastAsia" w:ascii="宋体" w:hAnsi="宋体" w:eastAsia="宋体" w:cs="宋体"/>
          <w:color w:val="auto"/>
          <w:sz w:val="28"/>
          <w:szCs w:val="28"/>
          <w:highlight w:val="none"/>
          <w:u w:val="single"/>
          <w:lang w:val="zh-CN"/>
        </w:rPr>
        <w:t xml:space="preserve">     （电子签章）    </w:t>
      </w:r>
    </w:p>
    <w:p w14:paraId="3C1D75EB">
      <w:pPr>
        <w:pageBreakBefore w:val="0"/>
        <w:widowControl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1A8FFD04">
      <w:pPr>
        <w:pageBreakBefore w:val="0"/>
        <w:spacing w:line="380" w:lineRule="exact"/>
        <w:ind w:firstLine="482"/>
        <w:rPr>
          <w:rFonts w:hint="eastAsia" w:ascii="宋体" w:hAnsi="宋体" w:eastAsia="宋体" w:cs="宋体"/>
          <w:b/>
          <w:bCs/>
          <w:color w:val="auto"/>
          <w:sz w:val="24"/>
          <w:highlight w:val="none"/>
        </w:rPr>
      </w:pPr>
    </w:p>
    <w:p w14:paraId="0BDFDBEA">
      <w:pPr>
        <w:pageBreakBefore w:val="0"/>
        <w:spacing w:line="380" w:lineRule="exact"/>
        <w:ind w:firstLine="482"/>
        <w:rPr>
          <w:rFonts w:hint="eastAsia" w:ascii="宋体" w:hAnsi="宋体" w:eastAsia="宋体" w:cs="宋体"/>
          <w:b/>
          <w:bCs/>
          <w:color w:val="auto"/>
          <w:sz w:val="24"/>
          <w:highlight w:val="none"/>
        </w:rPr>
      </w:pPr>
    </w:p>
    <w:p w14:paraId="7C992A35">
      <w:pPr>
        <w:pageBreakBefore w:val="0"/>
        <w:spacing w:line="380" w:lineRule="exact"/>
        <w:ind w:firstLine="482"/>
        <w:rPr>
          <w:rFonts w:hint="eastAsia" w:ascii="宋体" w:hAnsi="宋体" w:eastAsia="宋体" w:cs="宋体"/>
          <w:b/>
          <w:bCs/>
          <w:color w:val="auto"/>
          <w:sz w:val="24"/>
          <w:highlight w:val="none"/>
        </w:rPr>
      </w:pPr>
    </w:p>
    <w:p w14:paraId="2CD6DD2B">
      <w:pPr>
        <w:pageBreakBefore w:val="0"/>
        <w:spacing w:line="3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委托受托人参加投标的，必须附受托人身份证扫描件加盖</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电子签章。法定代表人直接参加投标的，仅需填写“法定代表人资格证明”。</w:t>
      </w:r>
    </w:p>
    <w:p w14:paraId="406CF2BD">
      <w:pPr>
        <w:pageBreakBefore w:val="0"/>
        <w:spacing w:line="380" w:lineRule="exact"/>
        <w:ind w:firstLine="482"/>
        <w:rPr>
          <w:rFonts w:hint="eastAsia" w:ascii="宋体" w:hAnsi="宋体" w:eastAsia="宋体" w:cs="宋体"/>
          <w:b/>
          <w:bCs/>
          <w:color w:val="auto"/>
          <w:sz w:val="24"/>
          <w:highlight w:val="none"/>
        </w:rPr>
      </w:pPr>
    </w:p>
    <w:p w14:paraId="300176FB">
      <w:pPr>
        <w:pageBreakBefore w:val="0"/>
        <w:spacing w:line="380" w:lineRule="exact"/>
        <w:ind w:firstLine="562"/>
        <w:rPr>
          <w:rFonts w:hint="eastAsia" w:ascii="宋体" w:hAnsi="宋体" w:eastAsia="宋体" w:cs="宋体"/>
          <w:b/>
          <w:bCs/>
          <w:color w:val="auto"/>
          <w:sz w:val="28"/>
          <w:highlight w:val="none"/>
        </w:rPr>
      </w:pPr>
    </w:p>
    <w:p w14:paraId="7B9EAEE0">
      <w:pPr>
        <w:pStyle w:val="12"/>
        <w:pageBreakBefore w:val="0"/>
        <w:spacing w:line="380" w:lineRule="exact"/>
        <w:rPr>
          <w:rFonts w:hint="eastAsia" w:ascii="宋体" w:hAnsi="宋体" w:eastAsia="宋体" w:cs="宋体"/>
          <w:b/>
          <w:color w:val="auto"/>
          <w:sz w:val="32"/>
          <w:szCs w:val="24"/>
          <w:highlight w:val="none"/>
        </w:rPr>
      </w:pPr>
    </w:p>
    <w:p w14:paraId="7BB03441">
      <w:pPr>
        <w:pStyle w:val="12"/>
        <w:pageBreakBefore w:val="0"/>
        <w:spacing w:line="380" w:lineRule="exact"/>
        <w:rPr>
          <w:rFonts w:hint="eastAsia" w:ascii="宋体" w:hAnsi="宋体" w:eastAsia="宋体" w:cs="宋体"/>
          <w:b/>
          <w:color w:val="auto"/>
          <w:sz w:val="32"/>
          <w:szCs w:val="24"/>
          <w:highlight w:val="none"/>
        </w:rPr>
      </w:pPr>
    </w:p>
    <w:p w14:paraId="21D5A57D">
      <w:pPr>
        <w:pStyle w:val="12"/>
        <w:pageBreakBefore w:val="0"/>
        <w:spacing w:line="380" w:lineRule="exact"/>
        <w:rPr>
          <w:rFonts w:hint="eastAsia" w:ascii="宋体" w:hAnsi="宋体" w:eastAsia="宋体" w:cs="宋体"/>
          <w:b/>
          <w:color w:val="auto"/>
          <w:sz w:val="32"/>
          <w:szCs w:val="24"/>
          <w:highlight w:val="none"/>
        </w:rPr>
      </w:pPr>
    </w:p>
    <w:p w14:paraId="7F99FE17">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p>
    <w:p w14:paraId="412B8D85">
      <w:pPr>
        <w:pStyle w:val="5"/>
        <w:pageBreakBefore w:val="0"/>
        <w:shd w:val="clear" w:color="auto" w:fill="FFFFFF"/>
        <w:spacing w:line="380" w:lineRule="exact"/>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示范格式三</w:t>
      </w:r>
    </w:p>
    <w:p w14:paraId="64C6AC46">
      <w:pPr>
        <w:pageBreakBefore w:val="0"/>
        <w:spacing w:line="380" w:lineRule="exact"/>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承 诺 书</w:t>
      </w:r>
    </w:p>
    <w:p w14:paraId="0B08F80B">
      <w:pPr>
        <w:pageBreakBefore w:val="0"/>
        <w:spacing w:line="380" w:lineRule="exact"/>
        <w:ind w:firstLine="643"/>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符合《</w:t>
      </w:r>
      <w:r>
        <w:rPr>
          <w:rFonts w:hint="eastAsia" w:ascii="宋体" w:hAnsi="宋体" w:eastAsia="宋体" w:cs="宋体"/>
          <w:b/>
          <w:bCs/>
          <w:color w:val="auto"/>
          <w:sz w:val="32"/>
          <w:highlight w:val="none"/>
          <w:lang w:eastAsia="zh-CN"/>
        </w:rPr>
        <w:t>中华人民共和国政府采购法</w:t>
      </w:r>
      <w:r>
        <w:rPr>
          <w:rFonts w:hint="eastAsia" w:ascii="宋体" w:hAnsi="宋体" w:eastAsia="宋体" w:cs="宋体"/>
          <w:b/>
          <w:bCs/>
          <w:color w:val="auto"/>
          <w:sz w:val="32"/>
          <w:highlight w:val="none"/>
        </w:rPr>
        <w:t>》第二十二条规定</w:t>
      </w:r>
      <w:r>
        <w:rPr>
          <w:rFonts w:hint="eastAsia" w:ascii="宋体" w:hAnsi="宋体" w:eastAsia="宋体" w:cs="宋体"/>
          <w:b/>
          <w:bCs/>
          <w:color w:val="auto"/>
          <w:sz w:val="32"/>
          <w:highlight w:val="none"/>
          <w:lang w:val="en-US" w:eastAsia="zh-CN"/>
        </w:rPr>
        <w:t xml:space="preserve"> </w:t>
      </w:r>
    </w:p>
    <w:p w14:paraId="1A5F12A3">
      <w:pPr>
        <w:pStyle w:val="39"/>
        <w:pageBreakBefore w:val="0"/>
        <w:spacing w:line="380" w:lineRule="exact"/>
        <w:rPr>
          <w:rFonts w:hint="eastAsia" w:ascii="宋体" w:hAnsi="宋体" w:eastAsia="宋体" w:cs="宋体"/>
          <w:color w:val="auto"/>
          <w:highlight w:val="none"/>
          <w:lang w:val="zh-CN"/>
        </w:rPr>
      </w:pPr>
    </w:p>
    <w:p w14:paraId="64DE3E94">
      <w:pPr>
        <w:keepNext w:val="0"/>
        <w:keepLines w:val="0"/>
        <w:pageBreakBefore w:val="0"/>
        <w:spacing w:line="480" w:lineRule="exact"/>
        <w:ind w:firstLine="1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          </w:t>
      </w:r>
      <w:r>
        <w:rPr>
          <w:rFonts w:hint="eastAsia" w:ascii="宋体" w:hAnsi="宋体" w:eastAsia="宋体" w:cs="宋体"/>
          <w:color w:val="auto"/>
          <w:sz w:val="24"/>
          <w:highlight w:val="none"/>
        </w:rPr>
        <w:t>：</w:t>
      </w:r>
    </w:p>
    <w:p w14:paraId="7C23123E">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我公司参加贵中心组织实施的（项目编号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采购项目的政府采购活动。针对《中华人民共和国政府采购法》第二十二条规定做出如下声明：</w:t>
      </w:r>
    </w:p>
    <w:p w14:paraId="0BFDE889">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1、我单位具有独立承担民事责任的能力；</w:t>
      </w:r>
    </w:p>
    <w:p w14:paraId="321330B2">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2、我单位具有良好的商业信誉和健全的财务会计制度；</w:t>
      </w:r>
    </w:p>
    <w:p w14:paraId="5A8C8379">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3、我单位具有履行合同所必需的设备和专业技术能力；</w:t>
      </w:r>
    </w:p>
    <w:p w14:paraId="4B0A3367">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4、我单位有依法缴纳税收和社会保障资金的良好记录；</w:t>
      </w:r>
    </w:p>
    <w:p w14:paraId="00D63E2A">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5、参加本次政府采购活动前三年内，我公司在经营活动中没有因违法经营受到刑事处罚或者责令停产停业、吊销许可证或者执照等行政处罚。</w:t>
      </w:r>
    </w:p>
    <w:p w14:paraId="77AF0C5D">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、我方与参加本次采购活动的其他单位不存在单位负责人为同一人的情况，也不存在控股、管理关系的情况；</w:t>
      </w:r>
    </w:p>
    <w:p w14:paraId="1222C274">
      <w:pPr>
        <w:keepNext w:val="0"/>
        <w:keepLines w:val="0"/>
        <w:pageBreakBefore w:val="0"/>
        <w:widowControl w:val="0"/>
        <w:spacing w:line="3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、我方没有为本采购项目提供整体设计、规范编制或者项目管理、监理、检测等服务；</w:t>
      </w:r>
    </w:p>
    <w:p w14:paraId="02DEEC68">
      <w:pPr>
        <w:keepNext w:val="0"/>
        <w:keepLines w:val="0"/>
        <w:pageBreakBefore w:val="0"/>
        <w:widowControl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未</w:t>
      </w:r>
      <w:r>
        <w:rPr>
          <w:rFonts w:hint="eastAsia" w:ascii="宋体" w:hAnsi="宋体" w:eastAsia="宋体" w:cs="宋体"/>
          <w:color w:val="auto"/>
          <w:sz w:val="24"/>
          <w:szCs w:val="24"/>
          <w:highlight w:val="none"/>
        </w:rPr>
        <w:t>被“信用中国”网站、“中国政府采购网”列入失信被执行人、重大税收违法案件当事人名单、政府采购严重违法失信行为记录名单。</w:t>
      </w:r>
    </w:p>
    <w:p w14:paraId="4A14C455">
      <w:pPr>
        <w:keepNext w:val="0"/>
        <w:keepLines w:val="0"/>
        <w:pageBreakBefore w:val="0"/>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我单位满足法律、行政法规规定的其他条件。</w:t>
      </w:r>
    </w:p>
    <w:p w14:paraId="15302EEB">
      <w:pPr>
        <w:keepNext w:val="0"/>
        <w:keepLines w:val="0"/>
        <w:pageBreakBefore w:val="0"/>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、我方保证上述信息的真实和准确，并愿意承担因我方就此弄虚作假所引起的一切法律后果，并自愿接受相关监管部门作出的任何处罚。</w:t>
      </w:r>
    </w:p>
    <w:p w14:paraId="19A338C9">
      <w:pPr>
        <w:keepNext w:val="0"/>
        <w:keepLines w:val="0"/>
        <w:pageBreakBefore w:val="0"/>
        <w:spacing w:line="480" w:lineRule="exact"/>
        <w:ind w:firstLine="480"/>
        <w:rPr>
          <w:rFonts w:hint="eastAsia" w:ascii="宋体" w:hAnsi="宋体" w:eastAsia="宋体" w:cs="宋体"/>
          <w:color w:val="auto"/>
          <w:sz w:val="24"/>
          <w:highlight w:val="none"/>
        </w:rPr>
      </w:pPr>
    </w:p>
    <w:p w14:paraId="53748537">
      <w:pPr>
        <w:keepNext w:val="0"/>
        <w:keepLines w:val="0"/>
        <w:pageBreakBefore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307C99F">
      <w:pPr>
        <w:keepNext w:val="0"/>
        <w:keepLines w:val="0"/>
        <w:pageBreakBefore w:val="0"/>
        <w:spacing w:line="480" w:lineRule="exact"/>
        <w:ind w:righ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3198548">
      <w:pPr>
        <w:keepNext w:val="0"/>
        <w:keepLines w:val="0"/>
        <w:pageBreakBefore w:val="0"/>
        <w:spacing w:line="480" w:lineRule="exact"/>
        <w:ind w:right="4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zh-CN"/>
        </w:rPr>
        <w:t>（电子签章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148FFECF">
      <w:pPr>
        <w:keepNext w:val="0"/>
        <w:keepLines w:val="0"/>
        <w:pageBreakBefore w:val="0"/>
        <w:spacing w:line="480" w:lineRule="exact"/>
        <w:ind w:right="4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或签章</w:t>
      </w:r>
      <w:r>
        <w:rPr>
          <w:rFonts w:hint="eastAsia" w:ascii="宋体" w:hAnsi="宋体" w:eastAsia="宋体" w:cs="宋体"/>
          <w:color w:val="auto"/>
          <w:sz w:val="24"/>
          <w:highlight w:val="none"/>
        </w:rPr>
        <w:t xml:space="preserve">）        </w:t>
      </w:r>
    </w:p>
    <w:p w14:paraId="637EDA10">
      <w:pPr>
        <w:pStyle w:val="12"/>
        <w:keepNext w:val="0"/>
        <w:keepLines w:val="0"/>
        <w:pageBreakBefore w:val="0"/>
        <w:widowControl/>
        <w:spacing w:line="48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日</w:t>
      </w:r>
    </w:p>
    <w:p w14:paraId="47CDF9FE">
      <w:pPr>
        <w:pStyle w:val="25"/>
        <w:keepNext w:val="0"/>
        <w:keepLines w:val="0"/>
        <w:pageBreakBefore w:val="0"/>
        <w:spacing w:line="480" w:lineRule="exact"/>
        <w:rPr>
          <w:rFonts w:hint="eastAsia" w:ascii="宋体" w:hAnsi="宋体" w:eastAsia="宋体" w:cs="宋体"/>
          <w:color w:val="auto"/>
          <w:sz w:val="20"/>
          <w:szCs w:val="20"/>
          <w:highlight w:val="none"/>
          <w:lang w:val="en-US"/>
        </w:rPr>
        <w:sectPr>
          <w:pgSz w:w="11906" w:h="16838"/>
          <w:pgMar w:top="1440" w:right="1361" w:bottom="1440" w:left="1247" w:header="851" w:footer="992" w:gutter="0"/>
          <w:pgBorders>
            <w:top w:val="none" w:sz="0" w:space="0"/>
            <w:left w:val="none" w:sz="0" w:space="0"/>
            <w:bottom w:val="none" w:sz="0" w:space="0"/>
            <w:right w:val="none" w:sz="0" w:space="0"/>
          </w:pgBorders>
          <w:cols w:space="720" w:num="1"/>
          <w:docGrid w:linePitch="360" w:charSpace="0"/>
        </w:sectPr>
      </w:pPr>
    </w:p>
    <w:p w14:paraId="692D0E3E">
      <w:pPr>
        <w:pStyle w:val="5"/>
        <w:pageBreakBefore w:val="0"/>
        <w:shd w:val="clear" w:color="auto" w:fill="FFFFFF"/>
        <w:spacing w:line="380" w:lineRule="exact"/>
        <w:ind w:left="0" w:firstLine="0"/>
        <w:rPr>
          <w:rFonts w:hint="eastAsia" w:ascii="宋体" w:hAnsi="宋体" w:eastAsia="宋体" w:cs="宋体"/>
          <w:color w:val="auto"/>
          <w:sz w:val="30"/>
          <w:szCs w:val="30"/>
          <w:highlight w:val="none"/>
          <w:lang w:eastAsia="zh-CN"/>
        </w:rPr>
      </w:pPr>
      <w:bookmarkStart w:id="33" w:name="_Toc49352288"/>
      <w:bookmarkStart w:id="34" w:name="_Toc12956505"/>
      <w:r>
        <w:rPr>
          <w:rFonts w:hint="eastAsia" w:ascii="宋体" w:hAnsi="宋体" w:eastAsia="宋体" w:cs="宋体"/>
          <w:color w:val="auto"/>
          <w:sz w:val="30"/>
          <w:szCs w:val="30"/>
          <w:highlight w:val="none"/>
        </w:rPr>
        <w:t>示范格式</w:t>
      </w:r>
      <w:r>
        <w:rPr>
          <w:rFonts w:hint="eastAsia" w:ascii="宋体" w:hAnsi="宋体" w:eastAsia="宋体" w:cs="宋体"/>
          <w:color w:val="auto"/>
          <w:sz w:val="30"/>
          <w:szCs w:val="30"/>
          <w:highlight w:val="none"/>
          <w:lang w:val="en-US" w:eastAsia="zh-CN"/>
        </w:rPr>
        <w:t>四</w:t>
      </w:r>
      <w:bookmarkEnd w:id="33"/>
      <w:bookmarkEnd w:id="34"/>
    </w:p>
    <w:p w14:paraId="5887BEBE">
      <w:pPr>
        <w:pageBreakBefore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企业声明函（</w:t>
      </w:r>
      <w:r>
        <w:rPr>
          <w:rFonts w:hint="eastAsia" w:ascii="宋体" w:hAnsi="宋体" w:eastAsia="宋体" w:cs="宋体"/>
          <w:b/>
          <w:bCs/>
          <w:color w:val="auto"/>
          <w:sz w:val="32"/>
          <w:szCs w:val="32"/>
          <w:highlight w:val="none"/>
          <w:lang w:val="en-US" w:eastAsia="zh-CN"/>
        </w:rPr>
        <w:t>工程、服务</w:t>
      </w:r>
      <w:r>
        <w:rPr>
          <w:rFonts w:hint="eastAsia" w:ascii="宋体" w:hAnsi="宋体" w:eastAsia="宋体" w:cs="宋体"/>
          <w:b/>
          <w:bCs/>
          <w:color w:val="auto"/>
          <w:sz w:val="32"/>
          <w:szCs w:val="32"/>
          <w:highlight w:val="none"/>
        </w:rPr>
        <w:t>）</w:t>
      </w:r>
    </w:p>
    <w:p w14:paraId="6E49729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本公司郑重声明，根据《政府采购促进中小企业发展管理办法》(财库[2020]46号)的规定，本公司参加</w:t>
      </w:r>
      <w:r>
        <w:rPr>
          <w:rFonts w:hint="eastAsia" w:ascii="宋体" w:hAnsi="宋体" w:eastAsia="宋体" w:cs="宋体"/>
          <w:sz w:val="28"/>
          <w:szCs w:val="28"/>
          <w:highlight w:val="none"/>
          <w:u w:val="single"/>
        </w:rPr>
        <w:t>（单位名称）</w:t>
      </w:r>
      <w:r>
        <w:rPr>
          <w:rFonts w:hint="eastAsia" w:ascii="宋体" w:hAnsi="宋体" w:eastAsia="宋体" w:cs="宋体"/>
          <w:sz w:val="28"/>
          <w:szCs w:val="28"/>
          <w:highlight w:val="none"/>
        </w:rPr>
        <w:t>的</w:t>
      </w:r>
      <w:r>
        <w:rPr>
          <w:rFonts w:hint="eastAsia" w:ascii="宋体" w:hAnsi="宋体" w:eastAsia="宋体" w:cs="宋体"/>
          <w:sz w:val="28"/>
          <w:szCs w:val="28"/>
          <w:highlight w:val="none"/>
          <w:u w:val="single"/>
          <w:lang w:bidi="ar"/>
        </w:rPr>
        <w:t>（项目名称）</w:t>
      </w:r>
      <w:r>
        <w:rPr>
          <w:rFonts w:hint="eastAsia" w:ascii="宋体" w:hAnsi="宋体" w:eastAsia="宋体" w:cs="宋体"/>
          <w:sz w:val="28"/>
          <w:szCs w:val="28"/>
          <w:highlight w:val="none"/>
        </w:rPr>
        <w:t>采购活动，工程的施工单位全部为符合政策要求的中小企业（或者：服务全部由符合政策要求的中小企业承接）。相关企业的具体情况如下：</w:t>
      </w:r>
    </w:p>
    <w:p w14:paraId="3097A4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u w:val="single"/>
          <w:lang w:bidi="ar"/>
        </w:rPr>
        <w:t>（标的名称）</w:t>
      </w:r>
      <w:r>
        <w:rPr>
          <w:rFonts w:hint="eastAsia" w:ascii="宋体" w:hAnsi="宋体" w:eastAsia="宋体" w:cs="宋体"/>
          <w:sz w:val="28"/>
          <w:szCs w:val="28"/>
          <w:highlight w:val="none"/>
          <w:lang w:bidi="ar"/>
        </w:rPr>
        <w:t>，属于</w:t>
      </w:r>
      <w:r>
        <w:rPr>
          <w:rFonts w:hint="eastAsia" w:ascii="宋体" w:hAnsi="宋体" w:eastAsia="宋体" w:cs="宋体"/>
          <w:sz w:val="28"/>
          <w:szCs w:val="28"/>
          <w:highlight w:val="none"/>
          <w:u w:val="single"/>
          <w:lang w:bidi="ar"/>
        </w:rPr>
        <w:t>（采购文件中明确的所属行业）</w:t>
      </w:r>
      <w:r>
        <w:rPr>
          <w:rFonts w:hint="eastAsia" w:ascii="宋体" w:hAnsi="宋体" w:eastAsia="宋体" w:cs="宋体"/>
          <w:sz w:val="28"/>
          <w:szCs w:val="28"/>
          <w:highlight w:val="none"/>
        </w:rPr>
        <w:t>；承建（承接）企业为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（中型企业、小型企业、微型企业）</w:t>
      </w:r>
      <w:r>
        <w:rPr>
          <w:rFonts w:hint="eastAsia" w:ascii="宋体" w:hAnsi="宋体" w:eastAsia="宋体" w:cs="宋体"/>
          <w:sz w:val="28"/>
          <w:szCs w:val="28"/>
          <w:highlight w:val="none"/>
        </w:rPr>
        <w:t>；</w:t>
      </w:r>
    </w:p>
    <w:p w14:paraId="647038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u w:val="single"/>
          <w:lang w:bidi="ar"/>
        </w:rPr>
        <w:t>（标的名称）</w:t>
      </w:r>
      <w:r>
        <w:rPr>
          <w:rFonts w:hint="eastAsia" w:ascii="宋体" w:hAnsi="宋体" w:eastAsia="宋体" w:cs="宋体"/>
          <w:sz w:val="28"/>
          <w:szCs w:val="28"/>
          <w:highlight w:val="none"/>
          <w:lang w:bidi="ar"/>
        </w:rPr>
        <w:t>，属于</w:t>
      </w:r>
      <w:r>
        <w:rPr>
          <w:rFonts w:hint="eastAsia" w:ascii="宋体" w:hAnsi="宋体" w:eastAsia="宋体" w:cs="宋体"/>
          <w:sz w:val="28"/>
          <w:szCs w:val="28"/>
          <w:highlight w:val="none"/>
          <w:u w:val="single"/>
          <w:lang w:bidi="ar"/>
        </w:rPr>
        <w:t>（采购文件中明确的所属行业）</w:t>
      </w:r>
      <w:r>
        <w:rPr>
          <w:rFonts w:hint="eastAsia" w:ascii="宋体" w:hAnsi="宋体" w:eastAsia="宋体" w:cs="宋体"/>
          <w:sz w:val="28"/>
          <w:szCs w:val="28"/>
          <w:highlight w:val="none"/>
        </w:rPr>
        <w:t>；承建（承接）企业为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（中型企业、小型企业、微型企业）</w:t>
      </w:r>
      <w:r>
        <w:rPr>
          <w:rFonts w:hint="eastAsia" w:ascii="宋体" w:hAnsi="宋体" w:eastAsia="宋体" w:cs="宋体"/>
          <w:sz w:val="28"/>
          <w:szCs w:val="28"/>
          <w:highlight w:val="none"/>
        </w:rPr>
        <w:t>；</w:t>
      </w:r>
    </w:p>
    <w:p w14:paraId="7D93B0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w:t>
      </w:r>
    </w:p>
    <w:p w14:paraId="0156799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以上企业，不属于大企业的分支机构，不存在控股股东为大企业的情形，也不存在与大企业的负责人为同一人的情形。</w:t>
      </w:r>
    </w:p>
    <w:p w14:paraId="70EA2E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本企业对上述声明内容的真实性负责。如有虚假，将依法承担相应责任。</w:t>
      </w:r>
    </w:p>
    <w:p w14:paraId="4D8138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p>
    <w:p w14:paraId="1890C753">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供应商:</w:t>
      </w:r>
      <w:r>
        <w:rPr>
          <w:rFonts w:hint="eastAsia" w:ascii="宋体" w:hAnsi="宋体" w:eastAsia="宋体" w:cs="宋体"/>
          <w:color w:val="auto"/>
          <w:sz w:val="28"/>
          <w:szCs w:val="28"/>
          <w:highlight w:val="none"/>
          <w:u w:val="single"/>
          <w:lang w:val="zh-CN"/>
        </w:rPr>
        <w:t xml:space="preserve">        （电子签章）     </w:t>
      </w:r>
    </w:p>
    <w:p w14:paraId="2B845686">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highlight w:val="none"/>
          <w:u w:val="single"/>
        </w:rPr>
        <w:t>（电子签章或电子签字）</w:t>
      </w:r>
    </w:p>
    <w:p w14:paraId="408C3524">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5D649E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14:paraId="3A79BB8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14:paraId="0D99F57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rPr>
        <w:t>从业人员、营业收入、资产总额填报上一年度数据，无上一年度数据的新成立企业可不填报。</w:t>
      </w:r>
    </w:p>
    <w:p w14:paraId="77B8A380">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9693859">
      <w:pPr>
        <w:pStyle w:val="5"/>
        <w:pageBreakBefore w:val="0"/>
        <w:shd w:val="clear" w:color="auto" w:fill="FFFFFF"/>
        <w:spacing w:line="380" w:lineRule="exact"/>
        <w:ind w:left="0" w:firstLine="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示范格式</w:t>
      </w:r>
      <w:r>
        <w:rPr>
          <w:rFonts w:hint="eastAsia" w:ascii="宋体" w:hAnsi="宋体" w:eastAsia="宋体" w:cs="宋体"/>
          <w:color w:val="auto"/>
          <w:sz w:val="30"/>
          <w:szCs w:val="30"/>
          <w:highlight w:val="none"/>
          <w:lang w:val="en-US" w:eastAsia="zh-CN"/>
        </w:rPr>
        <w:t>五</w:t>
      </w:r>
    </w:p>
    <w:p w14:paraId="42774F89">
      <w:pPr>
        <w:pageBreakBefore w:val="0"/>
        <w:spacing w:line="38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w:t>
      </w:r>
    </w:p>
    <w:p w14:paraId="0A9C31E1">
      <w:pPr>
        <w:pageBreakBefore w:val="0"/>
        <w:spacing w:line="380" w:lineRule="exact"/>
        <w:ind w:firstLine="504"/>
        <w:rPr>
          <w:rFonts w:hint="eastAsia" w:ascii="宋体" w:hAnsi="宋体" w:eastAsia="宋体" w:cs="宋体"/>
          <w:color w:val="auto"/>
          <w:spacing w:val="6"/>
          <w:sz w:val="24"/>
          <w:highlight w:val="none"/>
        </w:rPr>
      </w:pPr>
    </w:p>
    <w:p w14:paraId="15011BE1">
      <w:pPr>
        <w:pStyle w:val="7"/>
        <w:keepNext w:val="0"/>
        <w:keepLines w:val="0"/>
        <w:pageBreakBefore w:val="0"/>
        <w:widowControl w:val="0"/>
        <w:spacing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p>
    <w:p w14:paraId="10B2C3A5">
      <w:pPr>
        <w:pStyle w:val="7"/>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73964475">
      <w:pPr>
        <w:pStyle w:val="7"/>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1、根据《财政部 民政部 中国残疾人联合会关于促进残疾人就业政府采购政策的通知》（财库〔2017〕141 号）规定的划分标准，本公司为残疾人福利性企业。</w:t>
      </w:r>
    </w:p>
    <w:p w14:paraId="12A74D83">
      <w:pPr>
        <w:pStyle w:val="7"/>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EC0D974">
      <w:pPr>
        <w:pStyle w:val="7"/>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注:</w:t>
      </w:r>
      <w:r>
        <w:rPr>
          <w:rFonts w:hint="eastAsia" w:ascii="宋体" w:hAnsi="宋体" w:eastAsia="宋体" w:cs="宋体"/>
          <w:bCs/>
          <w:color w:val="auto"/>
          <w:sz w:val="28"/>
          <w:szCs w:val="28"/>
          <w:highlight w:val="none"/>
        </w:rPr>
        <w:t>本公司对上述声明的真实性负责。如有虚假，将依法承担相应责任。</w:t>
      </w:r>
    </w:p>
    <w:p w14:paraId="7507D3DF">
      <w:pPr>
        <w:pStyle w:val="7"/>
        <w:keepNext w:val="0"/>
        <w:keepLines w:val="0"/>
        <w:pageBreakBefore w:val="0"/>
        <w:widowControl w:val="0"/>
        <w:spacing w:line="480" w:lineRule="exact"/>
        <w:ind w:firstLine="560"/>
        <w:rPr>
          <w:rFonts w:hint="eastAsia" w:ascii="宋体" w:hAnsi="宋体" w:eastAsia="宋体" w:cs="宋体"/>
          <w:color w:val="auto"/>
          <w:sz w:val="28"/>
          <w:szCs w:val="28"/>
          <w:highlight w:val="none"/>
        </w:rPr>
      </w:pPr>
    </w:p>
    <w:p w14:paraId="2B721341">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p>
    <w:p w14:paraId="0981A71D">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highlight w:val="none"/>
          <w:u w:val="single"/>
        </w:rPr>
        <w:t>（电子签章或电子签字）</w:t>
      </w:r>
    </w:p>
    <w:p w14:paraId="4E2853F8">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25EEED26">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p>
    <w:p w14:paraId="0A4B03FA">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p>
    <w:p w14:paraId="2D30226E">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p>
    <w:p w14:paraId="67E1F5FA">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注:非</w:t>
      </w:r>
      <w:r>
        <w:rPr>
          <w:rFonts w:hint="eastAsia" w:ascii="宋体" w:hAnsi="宋体" w:eastAsia="宋体" w:cs="宋体"/>
          <w:color w:val="auto"/>
          <w:sz w:val="28"/>
          <w:highlight w:val="none"/>
        </w:rPr>
        <w:t>残疾人福利性单位不</w:t>
      </w:r>
      <w:r>
        <w:rPr>
          <w:rFonts w:hint="eastAsia" w:ascii="宋体" w:hAnsi="宋体" w:eastAsia="宋体" w:cs="宋体"/>
          <w:color w:val="auto"/>
          <w:sz w:val="28"/>
          <w:szCs w:val="28"/>
          <w:highlight w:val="none"/>
        </w:rPr>
        <w:t>需提供此函。</w:t>
      </w:r>
    </w:p>
    <w:p w14:paraId="6E6C5C2E">
      <w:pPr>
        <w:pStyle w:val="41"/>
        <w:keepNext w:val="0"/>
        <w:keepLines w:val="0"/>
        <w:pageBreakBefore w:val="0"/>
        <w:widowControl w:val="0"/>
        <w:spacing w:line="480" w:lineRule="exact"/>
        <w:ind w:left="0" w:firstLine="0"/>
        <w:rPr>
          <w:rFonts w:hint="eastAsia" w:ascii="宋体" w:hAnsi="宋体" w:eastAsia="宋体" w:cs="宋体"/>
          <w:color w:val="auto"/>
          <w:sz w:val="24"/>
          <w:highlight w:val="none"/>
        </w:rPr>
      </w:pPr>
    </w:p>
    <w:p w14:paraId="2E7576FE">
      <w:pPr>
        <w:keepNext w:val="0"/>
        <w:keepLines w:val="0"/>
        <w:pageBreakBefore w:val="0"/>
        <w:widowControl w:val="0"/>
        <w:spacing w:line="480" w:lineRule="exact"/>
        <w:rPr>
          <w:rFonts w:hint="eastAsia" w:ascii="宋体" w:hAnsi="宋体" w:eastAsia="宋体" w:cs="宋体"/>
          <w:color w:val="auto"/>
          <w:sz w:val="24"/>
          <w:highlight w:val="none"/>
        </w:rPr>
      </w:pPr>
    </w:p>
    <w:p w14:paraId="69BF1328">
      <w:pPr>
        <w:pageBreakBefore w:val="0"/>
        <w:spacing w:line="380" w:lineRule="exact"/>
        <w:rPr>
          <w:rFonts w:hint="eastAsia" w:ascii="宋体" w:hAnsi="宋体" w:eastAsia="宋体" w:cs="宋体"/>
          <w:color w:val="auto"/>
          <w:highlight w:val="none"/>
        </w:rPr>
      </w:pPr>
    </w:p>
    <w:p w14:paraId="4EA8B48A">
      <w:pPr>
        <w:pageBreakBefore w:val="0"/>
        <w:spacing w:line="380" w:lineRule="exact"/>
        <w:rPr>
          <w:rFonts w:hint="eastAsia" w:ascii="宋体" w:hAnsi="宋体" w:eastAsia="宋体" w:cs="宋体"/>
          <w:color w:val="auto"/>
          <w:highlight w:val="none"/>
        </w:rPr>
      </w:pPr>
    </w:p>
    <w:p w14:paraId="5D5D6551">
      <w:pPr>
        <w:rPr>
          <w:rFonts w:hint="eastAsia" w:ascii="宋体" w:hAnsi="宋体" w:eastAsia="宋体" w:cs="宋体"/>
        </w:rPr>
      </w:pPr>
    </w:p>
    <w:p w14:paraId="433F357C"/>
    <w:sectPr>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44F94">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9D5B97">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F9D5B97">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3815">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062DE">
                          <w:pPr>
                            <w:pStyle w:val="14"/>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0F062DE">
                    <w:pPr>
                      <w:pStyle w:val="14"/>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0C9B3">
    <w:pPr>
      <w:spacing w:line="225" w:lineRule="auto"/>
      <w:ind w:left="6995"/>
      <w:rPr>
        <w:rFonts w:ascii="Microsoft JhengHei" w:hAnsi="Microsoft JhengHei" w:eastAsia="Microsoft JhengHei" w:cs="Microsoft JhengHe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02DF2">
                          <w:pPr>
                            <w:pStyle w:val="14"/>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F502DF2">
                    <w:pPr>
                      <w:pStyle w:val="1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91F230"/>
    <w:multiLevelType w:val="singleLevel"/>
    <w:tmpl w:val="8691F230"/>
    <w:lvl w:ilvl="0" w:tentative="0">
      <w:start w:val="1"/>
      <w:numFmt w:val="chineseCounting"/>
      <w:suff w:val="space"/>
      <w:lvlText w:val="第%1章"/>
      <w:lvlJc w:val="left"/>
      <w:rPr>
        <w:rFonts w:hint="eastAsia"/>
      </w:rPr>
    </w:lvl>
  </w:abstractNum>
  <w:abstractNum w:abstractNumId="1">
    <w:nsid w:val="ADE9187C"/>
    <w:multiLevelType w:val="singleLevel"/>
    <w:tmpl w:val="ADE9187C"/>
    <w:lvl w:ilvl="0" w:tentative="0">
      <w:start w:val="2"/>
      <w:numFmt w:val="chineseCounting"/>
      <w:suff w:val="nothing"/>
      <w:lvlText w:val="%1、"/>
      <w:lvlJc w:val="left"/>
      <w:rPr>
        <w:rFonts w:hint="eastAsia" w:cs="Times New Roman"/>
      </w:rPr>
    </w:lvl>
  </w:abstractNum>
  <w:abstractNum w:abstractNumId="2">
    <w:nsid w:val="CF092B84"/>
    <w:multiLevelType w:val="multilevel"/>
    <w:tmpl w:val="CF092B84"/>
    <w:lvl w:ilvl="0" w:tentative="0">
      <w:start w:val="4"/>
      <w:numFmt w:val="chineseCounting"/>
      <w:suff w:val="space"/>
      <w:lvlText w:val="第%1章"/>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6BAA352"/>
    <w:multiLevelType w:val="singleLevel"/>
    <w:tmpl w:val="F6BAA352"/>
    <w:lvl w:ilvl="0" w:tentative="0">
      <w:start w:val="6"/>
      <w:numFmt w:val="decimal"/>
      <w:suff w:val="nothing"/>
      <w:lvlText w:val="%1、"/>
      <w:lvlJc w:val="left"/>
    </w:lvl>
  </w:abstractNum>
  <w:abstractNum w:abstractNumId="4">
    <w:nsid w:val="0053208E"/>
    <w:multiLevelType w:val="multilevel"/>
    <w:tmpl w:val="0053208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2998219"/>
    <w:multiLevelType w:val="singleLevel"/>
    <w:tmpl w:val="22998219"/>
    <w:lvl w:ilvl="0" w:tentative="0">
      <w:start w:val="3"/>
      <w:numFmt w:val="chineseCounting"/>
      <w:suff w:val="nothing"/>
      <w:lvlText w:val="（%1）"/>
      <w:lvlJc w:val="left"/>
      <w:rPr>
        <w:rFonts w:hint="eastAsia"/>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8705A5"/>
    <w:rsid w:val="00172E78"/>
    <w:rsid w:val="003D0404"/>
    <w:rsid w:val="005319D6"/>
    <w:rsid w:val="00A3470B"/>
    <w:rsid w:val="00E13486"/>
    <w:rsid w:val="01655E65"/>
    <w:rsid w:val="019978BC"/>
    <w:rsid w:val="019C519F"/>
    <w:rsid w:val="01A85D51"/>
    <w:rsid w:val="01C74429"/>
    <w:rsid w:val="01CA3F1A"/>
    <w:rsid w:val="01FF4885"/>
    <w:rsid w:val="02092C94"/>
    <w:rsid w:val="02FC45A7"/>
    <w:rsid w:val="035E4919"/>
    <w:rsid w:val="03B46C2F"/>
    <w:rsid w:val="03EA08A3"/>
    <w:rsid w:val="03F66D0E"/>
    <w:rsid w:val="03FE4177"/>
    <w:rsid w:val="048705A5"/>
    <w:rsid w:val="04D27F09"/>
    <w:rsid w:val="05962A91"/>
    <w:rsid w:val="05AB0993"/>
    <w:rsid w:val="063B3638"/>
    <w:rsid w:val="06456265"/>
    <w:rsid w:val="06587D46"/>
    <w:rsid w:val="067A7CBC"/>
    <w:rsid w:val="069845E6"/>
    <w:rsid w:val="06C453DB"/>
    <w:rsid w:val="06DD024B"/>
    <w:rsid w:val="076D15CF"/>
    <w:rsid w:val="07740BAF"/>
    <w:rsid w:val="087A0447"/>
    <w:rsid w:val="08D12032"/>
    <w:rsid w:val="08F71A98"/>
    <w:rsid w:val="097F55EA"/>
    <w:rsid w:val="09A21E3D"/>
    <w:rsid w:val="0A14667A"/>
    <w:rsid w:val="0A2E0C9A"/>
    <w:rsid w:val="0A733468"/>
    <w:rsid w:val="0A8E1F88"/>
    <w:rsid w:val="0AD44E8F"/>
    <w:rsid w:val="0B1A7CC0"/>
    <w:rsid w:val="0B786794"/>
    <w:rsid w:val="0B854C3D"/>
    <w:rsid w:val="0B972C0A"/>
    <w:rsid w:val="0CE045F1"/>
    <w:rsid w:val="0D156991"/>
    <w:rsid w:val="0D411534"/>
    <w:rsid w:val="0D6C40D7"/>
    <w:rsid w:val="0D7A7B8E"/>
    <w:rsid w:val="0D7F3E0A"/>
    <w:rsid w:val="0DD73C46"/>
    <w:rsid w:val="0DE46363"/>
    <w:rsid w:val="0E3A5F83"/>
    <w:rsid w:val="0E3E1F17"/>
    <w:rsid w:val="0E623790"/>
    <w:rsid w:val="0E6C39EF"/>
    <w:rsid w:val="0E8813E4"/>
    <w:rsid w:val="0EC248F6"/>
    <w:rsid w:val="0ED168E7"/>
    <w:rsid w:val="0EE7435D"/>
    <w:rsid w:val="0F234C69"/>
    <w:rsid w:val="0F3155D8"/>
    <w:rsid w:val="0F4672D5"/>
    <w:rsid w:val="0F492922"/>
    <w:rsid w:val="0F5B4403"/>
    <w:rsid w:val="0FE60171"/>
    <w:rsid w:val="10081478"/>
    <w:rsid w:val="102B2027"/>
    <w:rsid w:val="106B4B1A"/>
    <w:rsid w:val="10B4026F"/>
    <w:rsid w:val="10B65B14"/>
    <w:rsid w:val="10F16DCD"/>
    <w:rsid w:val="11C40985"/>
    <w:rsid w:val="11DD55A3"/>
    <w:rsid w:val="12040D82"/>
    <w:rsid w:val="12485112"/>
    <w:rsid w:val="129640D0"/>
    <w:rsid w:val="12D40754"/>
    <w:rsid w:val="133E6515"/>
    <w:rsid w:val="1340403C"/>
    <w:rsid w:val="136F4921"/>
    <w:rsid w:val="139323BD"/>
    <w:rsid w:val="139576C2"/>
    <w:rsid w:val="139F6FB4"/>
    <w:rsid w:val="13A10F7E"/>
    <w:rsid w:val="13A47247"/>
    <w:rsid w:val="13FF7A53"/>
    <w:rsid w:val="140212F1"/>
    <w:rsid w:val="14405E62"/>
    <w:rsid w:val="149E54BE"/>
    <w:rsid w:val="14A7127E"/>
    <w:rsid w:val="14AF76CB"/>
    <w:rsid w:val="14D47131"/>
    <w:rsid w:val="14DE58BA"/>
    <w:rsid w:val="14FC3F92"/>
    <w:rsid w:val="150C0679"/>
    <w:rsid w:val="1537321C"/>
    <w:rsid w:val="153B0F5F"/>
    <w:rsid w:val="15400919"/>
    <w:rsid w:val="15583851"/>
    <w:rsid w:val="158E4707"/>
    <w:rsid w:val="15A24B3A"/>
    <w:rsid w:val="15D171CD"/>
    <w:rsid w:val="15D53161"/>
    <w:rsid w:val="15EE5FD1"/>
    <w:rsid w:val="165D4F05"/>
    <w:rsid w:val="168B3880"/>
    <w:rsid w:val="168E50BE"/>
    <w:rsid w:val="16E6314C"/>
    <w:rsid w:val="16F83FBE"/>
    <w:rsid w:val="17084E70"/>
    <w:rsid w:val="17400AAE"/>
    <w:rsid w:val="17B172B6"/>
    <w:rsid w:val="17BD20FF"/>
    <w:rsid w:val="17DA4A5F"/>
    <w:rsid w:val="17F6116D"/>
    <w:rsid w:val="18194181"/>
    <w:rsid w:val="1821268E"/>
    <w:rsid w:val="18273A1C"/>
    <w:rsid w:val="185A09EA"/>
    <w:rsid w:val="18664544"/>
    <w:rsid w:val="192F2B88"/>
    <w:rsid w:val="19520625"/>
    <w:rsid w:val="19720CC7"/>
    <w:rsid w:val="197E766C"/>
    <w:rsid w:val="19A075E2"/>
    <w:rsid w:val="19DB202D"/>
    <w:rsid w:val="19E03E83"/>
    <w:rsid w:val="19F8741E"/>
    <w:rsid w:val="1AF33A5A"/>
    <w:rsid w:val="1AFC4CEC"/>
    <w:rsid w:val="1B3F107D"/>
    <w:rsid w:val="1B542D7A"/>
    <w:rsid w:val="1B5E1503"/>
    <w:rsid w:val="1B8D1DE8"/>
    <w:rsid w:val="1C0C0F5F"/>
    <w:rsid w:val="1C913B5A"/>
    <w:rsid w:val="1CBD5B8E"/>
    <w:rsid w:val="1D0959CD"/>
    <w:rsid w:val="1D6E79F7"/>
    <w:rsid w:val="1D85546D"/>
    <w:rsid w:val="1E1B7B7F"/>
    <w:rsid w:val="1E3630AD"/>
    <w:rsid w:val="1ED3045A"/>
    <w:rsid w:val="1EFA3C38"/>
    <w:rsid w:val="1F1A3993"/>
    <w:rsid w:val="1F672950"/>
    <w:rsid w:val="1F737547"/>
    <w:rsid w:val="1FD61FB0"/>
    <w:rsid w:val="1FDB75C6"/>
    <w:rsid w:val="200D1749"/>
    <w:rsid w:val="201C373B"/>
    <w:rsid w:val="20457135"/>
    <w:rsid w:val="20474C5B"/>
    <w:rsid w:val="2059673D"/>
    <w:rsid w:val="208337BA"/>
    <w:rsid w:val="21367428"/>
    <w:rsid w:val="21556F04"/>
    <w:rsid w:val="21690C01"/>
    <w:rsid w:val="216E6218"/>
    <w:rsid w:val="21867A05"/>
    <w:rsid w:val="21B42351"/>
    <w:rsid w:val="21D56369"/>
    <w:rsid w:val="21E40288"/>
    <w:rsid w:val="220F3557"/>
    <w:rsid w:val="222B46FB"/>
    <w:rsid w:val="22421B7E"/>
    <w:rsid w:val="226118D9"/>
    <w:rsid w:val="227E692E"/>
    <w:rsid w:val="22835CF3"/>
    <w:rsid w:val="228644BC"/>
    <w:rsid w:val="22B1460E"/>
    <w:rsid w:val="22DB78DD"/>
    <w:rsid w:val="22DD5403"/>
    <w:rsid w:val="22E8790D"/>
    <w:rsid w:val="232F19D7"/>
    <w:rsid w:val="233D5EA2"/>
    <w:rsid w:val="2366364A"/>
    <w:rsid w:val="23A67EEB"/>
    <w:rsid w:val="23D95566"/>
    <w:rsid w:val="23E9602A"/>
    <w:rsid w:val="245B452F"/>
    <w:rsid w:val="247B3126"/>
    <w:rsid w:val="24E30CCB"/>
    <w:rsid w:val="25070E5D"/>
    <w:rsid w:val="25317C88"/>
    <w:rsid w:val="253A669F"/>
    <w:rsid w:val="256E67E6"/>
    <w:rsid w:val="25702511"/>
    <w:rsid w:val="257162D7"/>
    <w:rsid w:val="258D705D"/>
    <w:rsid w:val="25902C01"/>
    <w:rsid w:val="25B34B41"/>
    <w:rsid w:val="2653066B"/>
    <w:rsid w:val="274A3283"/>
    <w:rsid w:val="27AE0788"/>
    <w:rsid w:val="27E56B08"/>
    <w:rsid w:val="280D0539"/>
    <w:rsid w:val="28BE7A85"/>
    <w:rsid w:val="28FC05AD"/>
    <w:rsid w:val="294A30C6"/>
    <w:rsid w:val="295B3526"/>
    <w:rsid w:val="29954C89"/>
    <w:rsid w:val="29EB2AFB"/>
    <w:rsid w:val="2AC1385C"/>
    <w:rsid w:val="2AFA0B1C"/>
    <w:rsid w:val="2AFE597E"/>
    <w:rsid w:val="2B084FE7"/>
    <w:rsid w:val="2B595843"/>
    <w:rsid w:val="2B7F799F"/>
    <w:rsid w:val="2B8C79C6"/>
    <w:rsid w:val="2B9B1F3D"/>
    <w:rsid w:val="2BAE3DE1"/>
    <w:rsid w:val="2BB1742D"/>
    <w:rsid w:val="2BC53008"/>
    <w:rsid w:val="2BCA6281"/>
    <w:rsid w:val="2C5801F0"/>
    <w:rsid w:val="2C6E531E"/>
    <w:rsid w:val="2C9805ED"/>
    <w:rsid w:val="2CA70830"/>
    <w:rsid w:val="2CAE390E"/>
    <w:rsid w:val="2D8A43D9"/>
    <w:rsid w:val="2DDE64D3"/>
    <w:rsid w:val="2E0221C2"/>
    <w:rsid w:val="2E1B7727"/>
    <w:rsid w:val="2E206AEC"/>
    <w:rsid w:val="2E271C28"/>
    <w:rsid w:val="2E50117F"/>
    <w:rsid w:val="2EB70352"/>
    <w:rsid w:val="2EE95130"/>
    <w:rsid w:val="2EFC4E63"/>
    <w:rsid w:val="2F8A06C1"/>
    <w:rsid w:val="2FD22068"/>
    <w:rsid w:val="309C4B4F"/>
    <w:rsid w:val="30BA3228"/>
    <w:rsid w:val="30C916BD"/>
    <w:rsid w:val="312132A7"/>
    <w:rsid w:val="314A45AB"/>
    <w:rsid w:val="316B62D0"/>
    <w:rsid w:val="31BB7257"/>
    <w:rsid w:val="31E367AE"/>
    <w:rsid w:val="31FD161E"/>
    <w:rsid w:val="32116E77"/>
    <w:rsid w:val="321C75CA"/>
    <w:rsid w:val="33042538"/>
    <w:rsid w:val="33C041B1"/>
    <w:rsid w:val="33C57F19"/>
    <w:rsid w:val="33CF0D98"/>
    <w:rsid w:val="33DF6B01"/>
    <w:rsid w:val="33F151B2"/>
    <w:rsid w:val="342015F4"/>
    <w:rsid w:val="344C4197"/>
    <w:rsid w:val="344F012B"/>
    <w:rsid w:val="34741C3F"/>
    <w:rsid w:val="34936269"/>
    <w:rsid w:val="34B166F0"/>
    <w:rsid w:val="34BD356D"/>
    <w:rsid w:val="34F07218"/>
    <w:rsid w:val="3518051D"/>
    <w:rsid w:val="356D6ABA"/>
    <w:rsid w:val="35AF0E81"/>
    <w:rsid w:val="35DC779C"/>
    <w:rsid w:val="35E87EEF"/>
    <w:rsid w:val="35EB512E"/>
    <w:rsid w:val="35EF127D"/>
    <w:rsid w:val="361231BE"/>
    <w:rsid w:val="3627310D"/>
    <w:rsid w:val="36633A19"/>
    <w:rsid w:val="366812A0"/>
    <w:rsid w:val="366E24FE"/>
    <w:rsid w:val="367F4CF7"/>
    <w:rsid w:val="368220F2"/>
    <w:rsid w:val="368D6745"/>
    <w:rsid w:val="36921026"/>
    <w:rsid w:val="36B9188B"/>
    <w:rsid w:val="36D13079"/>
    <w:rsid w:val="3757688F"/>
    <w:rsid w:val="37737C8C"/>
    <w:rsid w:val="37A4078E"/>
    <w:rsid w:val="37D72911"/>
    <w:rsid w:val="37ED7A3F"/>
    <w:rsid w:val="3828316D"/>
    <w:rsid w:val="387E293B"/>
    <w:rsid w:val="38A26A7B"/>
    <w:rsid w:val="38E726E0"/>
    <w:rsid w:val="391D4354"/>
    <w:rsid w:val="39706B79"/>
    <w:rsid w:val="3A0177D1"/>
    <w:rsid w:val="3A693CA2"/>
    <w:rsid w:val="3A7E7074"/>
    <w:rsid w:val="3A8F302F"/>
    <w:rsid w:val="3AC52EF5"/>
    <w:rsid w:val="3AE50EA1"/>
    <w:rsid w:val="3AE74C19"/>
    <w:rsid w:val="3B5654F4"/>
    <w:rsid w:val="3BC62A80"/>
    <w:rsid w:val="3BDC22A4"/>
    <w:rsid w:val="3BF21AC7"/>
    <w:rsid w:val="3C5E715D"/>
    <w:rsid w:val="3CBB635D"/>
    <w:rsid w:val="3D402D06"/>
    <w:rsid w:val="3D600CB3"/>
    <w:rsid w:val="3DB159B2"/>
    <w:rsid w:val="3DBA4867"/>
    <w:rsid w:val="3DDC2A2F"/>
    <w:rsid w:val="3E3208A1"/>
    <w:rsid w:val="3E476A18"/>
    <w:rsid w:val="3E6E037A"/>
    <w:rsid w:val="3E7F160D"/>
    <w:rsid w:val="3EA90437"/>
    <w:rsid w:val="3EAA48DB"/>
    <w:rsid w:val="3EEA2F2A"/>
    <w:rsid w:val="3F3B3785"/>
    <w:rsid w:val="3FCC6AD3"/>
    <w:rsid w:val="3FD414E4"/>
    <w:rsid w:val="3FD80FD4"/>
    <w:rsid w:val="3FE43E1D"/>
    <w:rsid w:val="4004626D"/>
    <w:rsid w:val="400973E0"/>
    <w:rsid w:val="40664832"/>
    <w:rsid w:val="40774C91"/>
    <w:rsid w:val="407F76A2"/>
    <w:rsid w:val="40BF3F42"/>
    <w:rsid w:val="40CE4185"/>
    <w:rsid w:val="41055DF9"/>
    <w:rsid w:val="41151DB4"/>
    <w:rsid w:val="41961147"/>
    <w:rsid w:val="426254CD"/>
    <w:rsid w:val="42784CF1"/>
    <w:rsid w:val="429F227D"/>
    <w:rsid w:val="42CE66BF"/>
    <w:rsid w:val="42F00D2B"/>
    <w:rsid w:val="43252782"/>
    <w:rsid w:val="43284021"/>
    <w:rsid w:val="434846C3"/>
    <w:rsid w:val="435B61A4"/>
    <w:rsid w:val="439146DC"/>
    <w:rsid w:val="43993170"/>
    <w:rsid w:val="439D67BD"/>
    <w:rsid w:val="43C81360"/>
    <w:rsid w:val="43DD12AF"/>
    <w:rsid w:val="43F6411F"/>
    <w:rsid w:val="441B5933"/>
    <w:rsid w:val="444C3D3F"/>
    <w:rsid w:val="448B4867"/>
    <w:rsid w:val="44913E48"/>
    <w:rsid w:val="449B0822"/>
    <w:rsid w:val="44F92119"/>
    <w:rsid w:val="45992FB4"/>
    <w:rsid w:val="45DE4E6B"/>
    <w:rsid w:val="45FE550D"/>
    <w:rsid w:val="4605689B"/>
    <w:rsid w:val="46236D21"/>
    <w:rsid w:val="46244F73"/>
    <w:rsid w:val="462F3918"/>
    <w:rsid w:val="46472A10"/>
    <w:rsid w:val="46496788"/>
    <w:rsid w:val="466E4440"/>
    <w:rsid w:val="46C027C2"/>
    <w:rsid w:val="46D83FB0"/>
    <w:rsid w:val="470703F1"/>
    <w:rsid w:val="477F61D9"/>
    <w:rsid w:val="47887784"/>
    <w:rsid w:val="47F92430"/>
    <w:rsid w:val="48036E0A"/>
    <w:rsid w:val="48111527"/>
    <w:rsid w:val="48515DC8"/>
    <w:rsid w:val="485338EE"/>
    <w:rsid w:val="48662CAB"/>
    <w:rsid w:val="488A3088"/>
    <w:rsid w:val="48A831C5"/>
    <w:rsid w:val="49025314"/>
    <w:rsid w:val="492E435B"/>
    <w:rsid w:val="49755955"/>
    <w:rsid w:val="49CF169A"/>
    <w:rsid w:val="4A192915"/>
    <w:rsid w:val="4A2D63C1"/>
    <w:rsid w:val="4ACF7478"/>
    <w:rsid w:val="4AEC627C"/>
    <w:rsid w:val="4AF64A04"/>
    <w:rsid w:val="4B187071"/>
    <w:rsid w:val="4B63653E"/>
    <w:rsid w:val="4B6E0A3F"/>
    <w:rsid w:val="4B887D52"/>
    <w:rsid w:val="4B8D2C03"/>
    <w:rsid w:val="4B9C55AC"/>
    <w:rsid w:val="4BCE14DD"/>
    <w:rsid w:val="4BD74836"/>
    <w:rsid w:val="4C2A705C"/>
    <w:rsid w:val="4C341C88"/>
    <w:rsid w:val="4CE865CF"/>
    <w:rsid w:val="4D04165B"/>
    <w:rsid w:val="4D185106"/>
    <w:rsid w:val="4D1E40A2"/>
    <w:rsid w:val="4D445EFB"/>
    <w:rsid w:val="4D9F3131"/>
    <w:rsid w:val="4DAE7818"/>
    <w:rsid w:val="4DBA61BD"/>
    <w:rsid w:val="4DD52FF7"/>
    <w:rsid w:val="4E197388"/>
    <w:rsid w:val="4E487C6D"/>
    <w:rsid w:val="4E665DC4"/>
    <w:rsid w:val="4E6D76D3"/>
    <w:rsid w:val="4E8B1908"/>
    <w:rsid w:val="4E946A0E"/>
    <w:rsid w:val="4EC07803"/>
    <w:rsid w:val="4EE554BC"/>
    <w:rsid w:val="4EEC05F8"/>
    <w:rsid w:val="4F1638C7"/>
    <w:rsid w:val="4F796777"/>
    <w:rsid w:val="4FFD05E3"/>
    <w:rsid w:val="4FFE4A87"/>
    <w:rsid w:val="500F0A42"/>
    <w:rsid w:val="5055041F"/>
    <w:rsid w:val="505E1082"/>
    <w:rsid w:val="50D41344"/>
    <w:rsid w:val="50F639B0"/>
    <w:rsid w:val="512E2F46"/>
    <w:rsid w:val="51782617"/>
    <w:rsid w:val="51905BB3"/>
    <w:rsid w:val="51C21AE4"/>
    <w:rsid w:val="51E41A5B"/>
    <w:rsid w:val="521C11F4"/>
    <w:rsid w:val="526E7576"/>
    <w:rsid w:val="528F5E6A"/>
    <w:rsid w:val="52BE22AC"/>
    <w:rsid w:val="52E63A37"/>
    <w:rsid w:val="5337780A"/>
    <w:rsid w:val="53395DD6"/>
    <w:rsid w:val="53682217"/>
    <w:rsid w:val="539F032F"/>
    <w:rsid w:val="544E765F"/>
    <w:rsid w:val="5488491F"/>
    <w:rsid w:val="54D45DB6"/>
    <w:rsid w:val="550D12C8"/>
    <w:rsid w:val="554D5B69"/>
    <w:rsid w:val="557650C0"/>
    <w:rsid w:val="55CA325E"/>
    <w:rsid w:val="55CC4CE0"/>
    <w:rsid w:val="55E95892"/>
    <w:rsid w:val="561B7A15"/>
    <w:rsid w:val="56384123"/>
    <w:rsid w:val="566E3FE9"/>
    <w:rsid w:val="56966EB6"/>
    <w:rsid w:val="56AB2B47"/>
    <w:rsid w:val="56F42740"/>
    <w:rsid w:val="572B1EDA"/>
    <w:rsid w:val="572E17D9"/>
    <w:rsid w:val="57435475"/>
    <w:rsid w:val="576158FB"/>
    <w:rsid w:val="576D42A0"/>
    <w:rsid w:val="57914433"/>
    <w:rsid w:val="57A2219C"/>
    <w:rsid w:val="582901C7"/>
    <w:rsid w:val="582E3A30"/>
    <w:rsid w:val="583C439E"/>
    <w:rsid w:val="586C6306"/>
    <w:rsid w:val="58CD149A"/>
    <w:rsid w:val="590F00B2"/>
    <w:rsid w:val="592B4413"/>
    <w:rsid w:val="597C6A1D"/>
    <w:rsid w:val="5A2F3A8F"/>
    <w:rsid w:val="5A5A6D5E"/>
    <w:rsid w:val="5A601E9A"/>
    <w:rsid w:val="5A6C6A91"/>
    <w:rsid w:val="5A70032F"/>
    <w:rsid w:val="5AA224B3"/>
    <w:rsid w:val="5ABF609B"/>
    <w:rsid w:val="5AC661A1"/>
    <w:rsid w:val="5AE91E90"/>
    <w:rsid w:val="5B4A1E4B"/>
    <w:rsid w:val="5B4F43E9"/>
    <w:rsid w:val="5B595267"/>
    <w:rsid w:val="5B6E46C5"/>
    <w:rsid w:val="5B953DC6"/>
    <w:rsid w:val="5BE014E5"/>
    <w:rsid w:val="5BF22FC6"/>
    <w:rsid w:val="5BFB00CD"/>
    <w:rsid w:val="5C036F81"/>
    <w:rsid w:val="5C6E089F"/>
    <w:rsid w:val="5C902F0B"/>
    <w:rsid w:val="5C9C18B0"/>
    <w:rsid w:val="5CD5091E"/>
    <w:rsid w:val="5CE6025C"/>
    <w:rsid w:val="5D1F7DEB"/>
    <w:rsid w:val="5D616655"/>
    <w:rsid w:val="5D705A37"/>
    <w:rsid w:val="5D7A14C5"/>
    <w:rsid w:val="5DAB5B22"/>
    <w:rsid w:val="5E280F21"/>
    <w:rsid w:val="5E543AC4"/>
    <w:rsid w:val="5E631F59"/>
    <w:rsid w:val="5F120961"/>
    <w:rsid w:val="5F24793A"/>
    <w:rsid w:val="5F307AFD"/>
    <w:rsid w:val="5F3A53B0"/>
    <w:rsid w:val="5F4C0B84"/>
    <w:rsid w:val="5F6661A5"/>
    <w:rsid w:val="5FE96316"/>
    <w:rsid w:val="602D0A71"/>
    <w:rsid w:val="60340051"/>
    <w:rsid w:val="606A5821"/>
    <w:rsid w:val="60805044"/>
    <w:rsid w:val="6085265B"/>
    <w:rsid w:val="60BF3DBF"/>
    <w:rsid w:val="61167757"/>
    <w:rsid w:val="61CB0541"/>
    <w:rsid w:val="623F405B"/>
    <w:rsid w:val="62781B0A"/>
    <w:rsid w:val="628F77C1"/>
    <w:rsid w:val="62B40FD5"/>
    <w:rsid w:val="62BD60DC"/>
    <w:rsid w:val="62D13935"/>
    <w:rsid w:val="63690012"/>
    <w:rsid w:val="636E5628"/>
    <w:rsid w:val="637A3FCD"/>
    <w:rsid w:val="63844E4C"/>
    <w:rsid w:val="638E5CCA"/>
    <w:rsid w:val="63B02ED2"/>
    <w:rsid w:val="63C17E4E"/>
    <w:rsid w:val="63C416EC"/>
    <w:rsid w:val="63DA1D5F"/>
    <w:rsid w:val="63E63410"/>
    <w:rsid w:val="64406FC4"/>
    <w:rsid w:val="64410F8F"/>
    <w:rsid w:val="64D616D7"/>
    <w:rsid w:val="65102E3B"/>
    <w:rsid w:val="659A0956"/>
    <w:rsid w:val="65BD20CA"/>
    <w:rsid w:val="66BE141F"/>
    <w:rsid w:val="66D6776C"/>
    <w:rsid w:val="66FF2A74"/>
    <w:rsid w:val="670F0ED0"/>
    <w:rsid w:val="6788492E"/>
    <w:rsid w:val="680622D3"/>
    <w:rsid w:val="683926A8"/>
    <w:rsid w:val="68ED6FEF"/>
    <w:rsid w:val="69034A64"/>
    <w:rsid w:val="694A2693"/>
    <w:rsid w:val="69692B1A"/>
    <w:rsid w:val="697469DA"/>
    <w:rsid w:val="699658D9"/>
    <w:rsid w:val="69F30635"/>
    <w:rsid w:val="6A674B7F"/>
    <w:rsid w:val="6A773014"/>
    <w:rsid w:val="6B2D5DC9"/>
    <w:rsid w:val="6BA73DCD"/>
    <w:rsid w:val="6BC32289"/>
    <w:rsid w:val="6C861C34"/>
    <w:rsid w:val="6CF941B4"/>
    <w:rsid w:val="6D013069"/>
    <w:rsid w:val="6D0A4613"/>
    <w:rsid w:val="6D401DE3"/>
    <w:rsid w:val="6D6D06FE"/>
    <w:rsid w:val="6D872FEB"/>
    <w:rsid w:val="6DC0711C"/>
    <w:rsid w:val="6DC60A8A"/>
    <w:rsid w:val="6DCC18C9"/>
    <w:rsid w:val="6E2A65EF"/>
    <w:rsid w:val="6E4633AD"/>
    <w:rsid w:val="6E843F52"/>
    <w:rsid w:val="6ED0363B"/>
    <w:rsid w:val="6EE13152"/>
    <w:rsid w:val="6EED1AF7"/>
    <w:rsid w:val="6F0142ED"/>
    <w:rsid w:val="6F280D81"/>
    <w:rsid w:val="6F502086"/>
    <w:rsid w:val="6F7044D6"/>
    <w:rsid w:val="6F825709"/>
    <w:rsid w:val="70096E04"/>
    <w:rsid w:val="70161521"/>
    <w:rsid w:val="708F0ABC"/>
    <w:rsid w:val="70CB230C"/>
    <w:rsid w:val="70F3716D"/>
    <w:rsid w:val="70F51137"/>
    <w:rsid w:val="71035E00"/>
    <w:rsid w:val="711517D9"/>
    <w:rsid w:val="711772FF"/>
    <w:rsid w:val="71233EF6"/>
    <w:rsid w:val="713C4FB8"/>
    <w:rsid w:val="714D4ACF"/>
    <w:rsid w:val="716D33C3"/>
    <w:rsid w:val="71DB657E"/>
    <w:rsid w:val="71DC40A5"/>
    <w:rsid w:val="7205122D"/>
    <w:rsid w:val="72A72905"/>
    <w:rsid w:val="72B868C0"/>
    <w:rsid w:val="72D336FA"/>
    <w:rsid w:val="72E15E16"/>
    <w:rsid w:val="731D6723"/>
    <w:rsid w:val="73396194"/>
    <w:rsid w:val="73506AF8"/>
    <w:rsid w:val="73770529"/>
    <w:rsid w:val="739015EB"/>
    <w:rsid w:val="739F538A"/>
    <w:rsid w:val="740718AD"/>
    <w:rsid w:val="74934EEE"/>
    <w:rsid w:val="74965C1D"/>
    <w:rsid w:val="74E474F8"/>
    <w:rsid w:val="74E92D60"/>
    <w:rsid w:val="74F17E67"/>
    <w:rsid w:val="750C4CA1"/>
    <w:rsid w:val="751A73BE"/>
    <w:rsid w:val="75360D61"/>
    <w:rsid w:val="753B10E2"/>
    <w:rsid w:val="755B4DDD"/>
    <w:rsid w:val="75AB6268"/>
    <w:rsid w:val="75EA4FE2"/>
    <w:rsid w:val="76856AB9"/>
    <w:rsid w:val="76D67314"/>
    <w:rsid w:val="772B58B2"/>
    <w:rsid w:val="77387FCF"/>
    <w:rsid w:val="7771703D"/>
    <w:rsid w:val="77EE068E"/>
    <w:rsid w:val="78542BE7"/>
    <w:rsid w:val="792016AD"/>
    <w:rsid w:val="79532E9E"/>
    <w:rsid w:val="7A4B1DC7"/>
    <w:rsid w:val="7AA716F4"/>
    <w:rsid w:val="7B136D89"/>
    <w:rsid w:val="7B242D44"/>
    <w:rsid w:val="7B2C39A7"/>
    <w:rsid w:val="7B4038F6"/>
    <w:rsid w:val="7B5B0730"/>
    <w:rsid w:val="7B851309"/>
    <w:rsid w:val="7BE73D72"/>
    <w:rsid w:val="7C464F3C"/>
    <w:rsid w:val="7C594C70"/>
    <w:rsid w:val="7C7E0232"/>
    <w:rsid w:val="7D3E3E65"/>
    <w:rsid w:val="7D4529C1"/>
    <w:rsid w:val="7D553689"/>
    <w:rsid w:val="7D697134"/>
    <w:rsid w:val="7D91028E"/>
    <w:rsid w:val="7DD345AE"/>
    <w:rsid w:val="7DF05160"/>
    <w:rsid w:val="7E2B6198"/>
    <w:rsid w:val="7E5020A2"/>
    <w:rsid w:val="7E524C92"/>
    <w:rsid w:val="7E6416AA"/>
    <w:rsid w:val="7F0666E9"/>
    <w:rsid w:val="7F4C4618"/>
    <w:rsid w:val="7F8A5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qFormat/>
    <w:uiPriority w:val="0"/>
    <w:pPr>
      <w:keepNext/>
      <w:keepLines/>
      <w:tabs>
        <w:tab w:val="left" w:pos="720"/>
      </w:tabs>
      <w:spacing w:before="260" w:after="260" w:line="410" w:lineRule="auto"/>
      <w:ind w:left="720" w:hanging="720"/>
      <w:outlineLvl w:val="2"/>
    </w:pPr>
    <w:rPr>
      <w:rFonts w:ascii="宋体"/>
      <w:b/>
      <w:color w:val="000000"/>
      <w:sz w:val="32"/>
      <w:szCs w:val="20"/>
    </w:rPr>
  </w:style>
  <w:style w:type="paragraph" w:styleId="6">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正文文本缩进1"/>
    <w:basedOn w:val="1"/>
    <w:qFormat/>
    <w:uiPriority w:val="0"/>
    <w:pPr>
      <w:spacing w:after="120"/>
      <w:ind w:left="420"/>
    </w:pPr>
  </w:style>
  <w:style w:type="paragraph" w:styleId="7">
    <w:name w:val="Normal Indent"/>
    <w:basedOn w:val="1"/>
    <w:qFormat/>
    <w:uiPriority w:val="0"/>
    <w:pPr>
      <w:ind w:firstLine="200"/>
    </w:pPr>
    <w:rPr>
      <w:sz w:val="20"/>
    </w:rPr>
  </w:style>
  <w:style w:type="paragraph" w:styleId="8">
    <w:name w:val="index 5"/>
    <w:basedOn w:val="1"/>
    <w:next w:val="1"/>
    <w:unhideWhenUsed/>
    <w:qFormat/>
    <w:uiPriority w:val="99"/>
    <w:pPr>
      <w:ind w:left="1050" w:hanging="210" w:firstLineChars="200"/>
      <w:jc w:val="left"/>
    </w:pPr>
    <w:rPr>
      <w:sz w:val="18"/>
      <w:szCs w:val="18"/>
      <w:lang w:eastAsia="zh-TW"/>
    </w:rPr>
  </w:style>
  <w:style w:type="paragraph" w:styleId="9">
    <w:name w:val="toa heading"/>
    <w:basedOn w:val="1"/>
    <w:next w:val="1"/>
    <w:qFormat/>
    <w:uiPriority w:val="0"/>
    <w:pPr>
      <w:spacing w:before="120" w:beforeAutospacing="0"/>
    </w:pPr>
    <w:rPr>
      <w:rFonts w:ascii="Arial" w:hAnsi="Arial"/>
      <w:sz w:val="24"/>
    </w:rPr>
  </w:style>
  <w:style w:type="paragraph" w:styleId="10">
    <w:name w:val="Body Text"/>
    <w:basedOn w:val="1"/>
    <w:qFormat/>
    <w:uiPriority w:val="0"/>
    <w:pPr>
      <w:jc w:val="center"/>
    </w:pPr>
    <w:rPr>
      <w:rFonts w:eastAsia="仿宋_GB2312"/>
      <w:sz w:val="28"/>
    </w:rPr>
  </w:style>
  <w:style w:type="paragraph" w:styleId="11">
    <w:name w:val="Block Text"/>
    <w:basedOn w:val="1"/>
    <w:qFormat/>
    <w:uiPriority w:val="0"/>
    <w:pPr>
      <w:adjustRightInd w:val="0"/>
      <w:ind w:left="420" w:right="33"/>
      <w:jc w:val="left"/>
      <w:textAlignment w:val="baseline"/>
    </w:pPr>
    <w:rPr>
      <w:rFonts w:ascii="Calibri" w:hAnsi="Calibri" w:eastAsia="宋体" w:cs="Times New Roman"/>
      <w:kern w:val="0"/>
      <w:sz w:val="24"/>
      <w:szCs w:val="20"/>
    </w:rPr>
  </w:style>
  <w:style w:type="paragraph" w:styleId="12">
    <w:name w:val="Plain Text"/>
    <w:basedOn w:val="1"/>
    <w:next w:val="1"/>
    <w:qFormat/>
    <w:uiPriority w:val="0"/>
    <w:rPr>
      <w:rFonts w:ascii="宋体"/>
      <w:szCs w:val="20"/>
    </w:rPr>
  </w:style>
  <w:style w:type="paragraph" w:styleId="13">
    <w:name w:val="Body Text Indent 2"/>
    <w:basedOn w:val="1"/>
    <w:qFormat/>
    <w:uiPriority w:val="0"/>
    <w:pPr>
      <w:tabs>
        <w:tab w:val="left" w:pos="9741"/>
      </w:tabs>
      <w:ind w:right="-1" w:firstLine="540"/>
    </w:pPr>
    <w:rPr>
      <w:rFonts w:eastAsia="仿宋_GB2312"/>
      <w:sz w:val="28"/>
    </w:rPr>
  </w:style>
  <w:style w:type="paragraph" w:styleId="14">
    <w:name w:val="footer"/>
    <w:basedOn w:val="1"/>
    <w:next w:val="1"/>
    <w:qFormat/>
    <w:uiPriority w:val="0"/>
    <w:pPr>
      <w:tabs>
        <w:tab w:val="center" w:pos="4153"/>
        <w:tab w:val="right" w:pos="8306"/>
      </w:tabs>
      <w:jc w:val="left"/>
    </w:pPr>
    <w:rPr>
      <w:rFonts w:ascii="Verdana" w:hAnsi="Verdana"/>
      <w:sz w:val="18"/>
      <w:szCs w:val="18"/>
    </w:rPr>
  </w:style>
  <w:style w:type="paragraph" w:styleId="15">
    <w:name w:val="footnote text"/>
    <w:basedOn w:val="1"/>
    <w:next w:val="8"/>
    <w:qFormat/>
    <w:uiPriority w:val="0"/>
    <w:pPr>
      <w:adjustRightInd w:val="0"/>
      <w:spacing w:line="312" w:lineRule="atLeast"/>
      <w:jc w:val="left"/>
      <w:textAlignment w:val="baseline"/>
    </w:pPr>
    <w:rPr>
      <w:kern w:val="0"/>
      <w:sz w:val="18"/>
      <w:szCs w:val="20"/>
    </w:rPr>
  </w:style>
  <w:style w:type="paragraph" w:styleId="16">
    <w:name w:val="toc 6"/>
    <w:basedOn w:val="1"/>
    <w:next w:val="1"/>
    <w:qFormat/>
    <w:uiPriority w:val="39"/>
    <w:pPr>
      <w:ind w:left="1050"/>
      <w:jc w:val="left"/>
    </w:pPr>
    <w:rPr>
      <w:sz w:val="18"/>
      <w:szCs w:val="18"/>
    </w:rPr>
  </w:style>
  <w:style w:type="paragraph" w:styleId="17">
    <w:name w:val="toc 2"/>
    <w:basedOn w:val="1"/>
    <w:next w:val="1"/>
    <w:semiHidden/>
    <w:qFormat/>
    <w:uiPriority w:val="0"/>
    <w:pPr>
      <w:ind w:left="420" w:leftChars="200"/>
    </w:pPr>
    <w:rPr>
      <w:szCs w:val="20"/>
    </w:rPr>
  </w:style>
  <w:style w:type="paragraph" w:styleId="18">
    <w:name w:val="Normal (Web)"/>
    <w:basedOn w:val="1"/>
    <w:qFormat/>
    <w:uiPriority w:val="0"/>
    <w:pPr>
      <w:spacing w:before="0" w:beforeAutospacing="1" w:after="0" w:afterAutospacing="1"/>
      <w:ind w:left="0" w:right="0"/>
      <w:jc w:val="left"/>
    </w:pPr>
    <w:rPr>
      <w:sz w:val="24"/>
      <w:lang w:val="en-US" w:eastAsia="zh-CN" w:bidi="ar"/>
    </w:rPr>
  </w:style>
  <w:style w:type="paragraph" w:styleId="19">
    <w:name w:val="Body Text First Indent"/>
    <w:basedOn w:val="10"/>
    <w:qFormat/>
    <w:uiPriority w:val="0"/>
    <w:pPr>
      <w:tabs>
        <w:tab w:val="left" w:pos="2020"/>
        <w:tab w:val="center" w:pos="4535"/>
      </w:tabs>
      <w:spacing w:after="120" w:afterLines="0" w:line="240" w:lineRule="auto"/>
      <w:ind w:firstLine="420" w:firstLineChars="100"/>
      <w:outlineLvl w:val="9"/>
    </w:pPr>
    <w:rPr>
      <w:rFonts w:ascii="Times New Roman" w:hAnsi="Times New Roman" w:eastAsia="宋体"/>
      <w:color w:val="auto"/>
      <w:sz w:val="21"/>
    </w:rPr>
  </w:style>
  <w:style w:type="character" w:styleId="22">
    <w:name w:val="Hyperlink"/>
    <w:basedOn w:val="21"/>
    <w:qFormat/>
    <w:uiPriority w:val="99"/>
    <w:rPr>
      <w:color w:val="333333"/>
      <w:u w:val="none"/>
    </w:rPr>
  </w:style>
  <w:style w:type="paragraph" w:customStyle="1" w:styleId="23">
    <w:name w:val="正文文本1"/>
    <w:basedOn w:val="1"/>
    <w:next w:val="24"/>
    <w:qFormat/>
    <w:uiPriority w:val="0"/>
    <w:pPr>
      <w:jc w:val="center"/>
    </w:pPr>
    <w:rPr>
      <w:rFonts w:eastAsia="仿宋_GB2312"/>
      <w:sz w:val="28"/>
    </w:rPr>
  </w:style>
  <w:style w:type="paragraph" w:customStyle="1" w:styleId="24">
    <w:name w:val="目录 21"/>
    <w:next w:val="1"/>
    <w:qFormat/>
    <w:uiPriority w:val="0"/>
    <w:pPr>
      <w:jc w:val="both"/>
    </w:pPr>
    <w:rPr>
      <w:rFonts w:hint="default" w:ascii="宋体" w:hAnsi="宋体" w:eastAsia="宋体" w:cs="宋体"/>
      <w:sz w:val="21"/>
      <w:lang w:eastAsia="zh-CN"/>
    </w:rPr>
  </w:style>
  <w:style w:type="paragraph" w:customStyle="1" w:styleId="25">
    <w:name w:val="[Normal]"/>
    <w:qFormat/>
    <w:uiPriority w:val="0"/>
    <w:rPr>
      <w:rFonts w:hint="default" w:ascii="方正仿宋简体" w:hAnsi="Times New Roman" w:eastAsia="方正仿宋简体" w:cs="Courier New"/>
      <w:sz w:val="24"/>
      <w:szCs w:val="22"/>
      <w:lang w:val="zh-CN" w:eastAsia="zh-CN" w:bidi="ar-SA"/>
    </w:rPr>
  </w:style>
  <w:style w:type="paragraph" w:customStyle="1" w:styleId="26">
    <w:name w:val="正文首行缩进 211"/>
    <w:basedOn w:val="27"/>
    <w:qFormat/>
    <w:uiPriority w:val="99"/>
    <w:pPr>
      <w:ind w:firstLine="420"/>
    </w:pPr>
    <w:rPr>
      <w:sz w:val="24"/>
    </w:rPr>
  </w:style>
  <w:style w:type="paragraph" w:customStyle="1" w:styleId="27">
    <w:name w:val="正文文本缩进11"/>
    <w:basedOn w:val="28"/>
    <w:qFormat/>
    <w:uiPriority w:val="99"/>
    <w:pPr>
      <w:ind w:firstLine="538"/>
    </w:pPr>
    <w:rPr>
      <w:sz w:val="28"/>
    </w:rPr>
  </w:style>
  <w:style w:type="paragraph" w:customStyle="1" w:styleId="28">
    <w:name w:val="正文112"/>
    <w:next w:val="29"/>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29">
    <w:name w:val="正文首行缩进1"/>
    <w:basedOn w:val="23"/>
    <w:next w:val="26"/>
    <w:qFormat/>
    <w:uiPriority w:val="0"/>
    <w:pPr>
      <w:tabs>
        <w:tab w:val="left" w:pos="2020"/>
        <w:tab w:val="center" w:pos="4535"/>
      </w:tabs>
      <w:spacing w:after="120"/>
      <w:ind w:firstLine="420"/>
    </w:pPr>
    <w:rPr>
      <w:sz w:val="21"/>
    </w:rPr>
  </w:style>
  <w:style w:type="character" w:customStyle="1" w:styleId="30">
    <w:name w:val="超链接1"/>
    <w:link w:val="1"/>
    <w:qFormat/>
    <w:uiPriority w:val="0"/>
    <w:rPr>
      <w:rFonts w:hint="default" w:ascii="Times New Roman" w:hAnsi="Times New Roman" w:eastAsia="宋体" w:cs="Times New Roman"/>
      <w:sz w:val="21"/>
      <w:szCs w:val="24"/>
      <w:lang w:val="en-US" w:eastAsia="zh-CN" w:bidi="ar-SA"/>
    </w:rPr>
  </w:style>
  <w:style w:type="paragraph" w:customStyle="1" w:styleId="31">
    <w:name w:val="正文首行缩进 21"/>
    <w:basedOn w:val="2"/>
    <w:qFormat/>
    <w:uiPriority w:val="0"/>
    <w:pPr>
      <w:ind w:firstLine="420"/>
    </w:pPr>
  </w:style>
  <w:style w:type="paragraph" w:customStyle="1" w:styleId="32">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33">
    <w:name w:val="样式 样式 左侧:  2 字符 + 左侧:  0.85 厘米 首行缩进:  2 字符1"/>
    <w:basedOn w:val="1"/>
    <w:autoRedefine/>
    <w:qFormat/>
    <w:uiPriority w:val="0"/>
    <w:pPr>
      <w:ind w:left="482" w:firstLine="200" w:firstLineChars="200"/>
    </w:pPr>
    <w:rPr>
      <w:rFonts w:ascii="Times New Roman" w:hAnsi="Times New Roman" w:cs="宋体"/>
      <w:szCs w:val="20"/>
    </w:rPr>
  </w:style>
  <w:style w:type="paragraph" w:customStyle="1" w:styleId="34">
    <w:name w:val="首行缩进"/>
    <w:basedOn w:val="1"/>
    <w:qFormat/>
    <w:uiPriority w:val="0"/>
    <w:pPr>
      <w:spacing w:line="360" w:lineRule="auto"/>
      <w:ind w:firstLine="420"/>
    </w:pPr>
    <w:rPr>
      <w:sz w:val="20"/>
    </w:rPr>
  </w:style>
  <w:style w:type="paragraph" w:customStyle="1" w:styleId="35">
    <w:name w:val="正文缩进1"/>
    <w:basedOn w:val="1"/>
    <w:next w:val="1"/>
    <w:qFormat/>
    <w:uiPriority w:val="0"/>
    <w:pPr>
      <w:ind w:firstLine="420"/>
    </w:pPr>
  </w:style>
  <w:style w:type="table" w:customStyle="1" w:styleId="36">
    <w:name w:val="Table Normal"/>
    <w:unhideWhenUsed/>
    <w:qFormat/>
    <w:uiPriority w:val="0"/>
    <w:tblPr>
      <w:tblCellMar>
        <w:top w:w="0" w:type="dxa"/>
        <w:left w:w="0" w:type="dxa"/>
        <w:bottom w:w="0" w:type="dxa"/>
        <w:right w:w="0" w:type="dxa"/>
      </w:tblCellMar>
    </w:tbl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paragraph" w:customStyle="1" w:styleId="38">
    <w:name w:val="普通正文"/>
    <w:basedOn w:val="1"/>
    <w:qFormat/>
    <w:uiPriority w:val="0"/>
    <w:pPr>
      <w:spacing w:before="120" w:after="120" w:line="360" w:lineRule="auto"/>
      <w:ind w:firstLine="480"/>
      <w:jc w:val="left"/>
    </w:pPr>
    <w:rPr>
      <w:rFonts w:ascii="Arial" w:hAnsi="Arial"/>
      <w:sz w:val="24"/>
    </w:rPr>
  </w:style>
  <w:style w:type="paragraph" w:customStyle="1" w:styleId="39">
    <w:name w:val="段"/>
    <w:basedOn w:val="40"/>
    <w:next w:val="1"/>
    <w:qFormat/>
    <w:uiPriority w:val="0"/>
    <w:pPr>
      <w:ind w:firstLine="200"/>
      <w:jc w:val="both"/>
    </w:pPr>
    <w:rPr>
      <w:rFonts w:hint="default" w:ascii="宋体" w:hAnsi="Times New Roman" w:eastAsia="宋体" w:cs="Times New Roman"/>
      <w:sz w:val="21"/>
      <w:szCs w:val="22"/>
    </w:rPr>
  </w:style>
  <w:style w:type="paragraph" w:customStyle="1" w:styleId="40">
    <w:name w:val="正文13"/>
    <w:next w:val="29"/>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41">
    <w:name w:val="正文1"/>
    <w:basedOn w:val="42"/>
    <w:next w:val="1"/>
    <w:qFormat/>
    <w:uiPriority w:val="0"/>
    <w:pPr>
      <w:tabs>
        <w:tab w:val="left" w:pos="1110"/>
      </w:tabs>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42">
    <w:name w:val="样式1"/>
    <w:basedOn w:val="1"/>
    <w:qFormat/>
    <w:uiPriority w:val="0"/>
    <w:pPr>
      <w:tabs>
        <w:tab w:val="left" w:pos="1110"/>
      </w:tabs>
      <w:ind w:left="432" w:firstLine="288"/>
    </w:pPr>
    <w:rPr>
      <w:rFonts w:ascii="宋体" w:hAnsi="宋体"/>
      <w:szCs w:val="21"/>
    </w:rPr>
  </w:style>
  <w:style w:type="paragraph" w:styleId="43">
    <w:name w:val="List Paragraph"/>
    <w:basedOn w:val="1"/>
    <w:autoRedefine/>
    <w:qFormat/>
    <w:uiPriority w:val="34"/>
    <w:pPr>
      <w:ind w:firstLine="420" w:firstLineChars="200"/>
    </w:pPr>
    <w:rPr>
      <w:szCs w:val="24"/>
    </w:rPr>
  </w:style>
  <w:style w:type="paragraph" w:customStyle="1" w:styleId="44">
    <w:name w:val="正文_0"/>
    <w:qFormat/>
    <w:uiPriority w:val="99"/>
    <w:pPr>
      <w:widowControl w:val="0"/>
      <w:jc w:val="both"/>
    </w:pPr>
    <w:rPr>
      <w:rFonts w:ascii="Calibri" w:hAnsi="Calibri" w:eastAsia="宋体" w:cs="Times New Roman"/>
      <w:lang w:val="en-US" w:eastAsia="zh-CN" w:bidi="ar-SA"/>
    </w:rPr>
  </w:style>
  <w:style w:type="paragraph" w:customStyle="1" w:styleId="45">
    <w:name w:val="Normal_20"/>
    <w:next w:val="46"/>
    <w:qFormat/>
    <w:uiPriority w:val="0"/>
    <w:rPr>
      <w:rFonts w:hint="default" w:ascii="黑体" w:hAnsi="黑体" w:eastAsia="黑体" w:cs="黑体"/>
      <w:b/>
      <w:sz w:val="32"/>
      <w:szCs w:val="24"/>
      <w:lang w:val="en-US" w:eastAsia="zh-CN" w:bidi="ar-SA"/>
    </w:rPr>
  </w:style>
  <w:style w:type="paragraph" w:customStyle="1" w:styleId="46">
    <w:name w:val="段_0"/>
    <w:next w:val="45"/>
    <w:qFormat/>
    <w:uiPriority w:val="0"/>
    <w:pPr>
      <w:ind w:firstLine="420"/>
      <w:jc w:val="both"/>
    </w:pPr>
    <w:rPr>
      <w:rFonts w:hint="default" w:ascii="宋体"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14129</Words>
  <Characters>15274</Characters>
  <Lines>0</Lines>
  <Paragraphs>0</Paragraphs>
  <TotalTime>13</TotalTime>
  <ScaleCrop>false</ScaleCrop>
  <LinksUpToDate>false</LinksUpToDate>
  <CharactersWithSpaces>15334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2025-04-08T01:14:00Z</dcterms:created>
  <dc:creator>Administrator</dc:creator>
  <cp:lastModifiedBy>Administrator</cp:lastModifiedBy>
  <dcterms:modified xsi:type="dcterms:W3CDTF">2026-04-30T07:15:01Z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D6CC38C674F049F084B04E52DD7774BE_13</vt:lpwstr>
  </property>
  <property fmtid="{D5CDD505-2E9C-101B-9397-08002B2CF9AE}" pid="4" name="KSOTemplateDocerSaveRecord">
    <vt:lpwstr>eyJoZGlkIjoiZTkxMDlkMzVjNGIyNGU4N2YyMDM4OTFhNmZhOTQ4MjMiLCJ1c2VySWQiOiIxMzMxNDg0NzA2In0=</vt:lpwstr>
  </property>
</Properties>
</file>